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default" w:ascii="Times New Roman" w:hAnsi="Times New Roman" w:eastAsia="Times New Roman"/>
          <w:b/>
          <w:color w:val="000000"/>
          <w:sz w:val="24"/>
          <w:szCs w:val="24"/>
        </w:rPr>
      </w:pPr>
      <w:r>
        <w:rPr>
          <w:rFonts w:hint="default" w:ascii="Times New Roman" w:hAnsi="Times New Roman" w:eastAsia="Times New Roman"/>
          <w:b/>
          <w:color w:val="000000"/>
          <w:sz w:val="24"/>
          <w:szCs w:val="24"/>
        </w:rPr>
        <w:t>IMPLEMENTATION OF THE DENTAL AND ORAL HEALTH CARE SERVICE MODEL FOR AUTISTIC CHILDREN</w:t>
      </w:r>
    </w:p>
    <w:p>
      <w:pPr>
        <w:spacing w:after="0" w:line="240" w:lineRule="auto"/>
        <w:jc w:val="both"/>
        <w:rPr>
          <w:rFonts w:ascii="Times New Roman" w:hAnsi="Times New Roman" w:eastAsia="Times New Roman" w:cs="Times New Roman"/>
          <w:b/>
          <w:color w:val="000000"/>
          <w:sz w:val="24"/>
          <w:szCs w:val="24"/>
        </w:rPr>
      </w:pPr>
      <w:r>
        <w:drawing>
          <wp:anchor distT="0" distB="0" distL="0" distR="0" simplePos="0" relativeHeight="251659264" behindDoc="1" locked="0" layoutInCell="1" allowOverlap="1">
            <wp:simplePos x="0" y="0"/>
            <wp:positionH relativeFrom="column">
              <wp:posOffset>-337820</wp:posOffset>
            </wp:positionH>
            <wp:positionV relativeFrom="paragraph">
              <wp:posOffset>224155</wp:posOffset>
            </wp:positionV>
            <wp:extent cx="6886575" cy="46355"/>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219" name="image1.jpg"/>
                    <pic:cNvPicPr preferRelativeResize="0"/>
                  </pic:nvPicPr>
                  <pic:blipFill>
                    <a:blip r:embed="rId10"/>
                    <a:srcRect b="89881"/>
                    <a:stretch>
                      <a:fillRect/>
                    </a:stretch>
                  </pic:blipFill>
                  <pic:spPr>
                    <a:xfrm>
                      <a:off x="0" y="0"/>
                      <a:ext cx="6886575" cy="46347"/>
                    </a:xfrm>
                    <a:prstGeom prst="rect">
                      <a:avLst/>
                    </a:prstGeom>
                  </pic:spPr>
                </pic:pic>
              </a:graphicData>
            </a:graphic>
          </wp:anchor>
        </w:drawing>
      </w:r>
    </w:p>
    <w:p>
      <w:pPr>
        <w:spacing w:after="0" w:line="240" w:lineRule="auto"/>
        <w:jc w:val="center"/>
        <w:rPr>
          <w:rFonts w:ascii="Times New Roman" w:hAnsi="Times New Roman" w:eastAsia="Times New Roman" w:cs="Times New Roman"/>
          <w:sz w:val="24"/>
          <w:szCs w:val="24"/>
        </w:rPr>
      </w:pPr>
    </w:p>
    <w:p>
      <w:pPr>
        <w:pStyle w:val="23"/>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rPr>
          <w:rFonts w:hint="default" w:ascii="Times New Roman Regular" w:hAnsi="Times New Roman Regular" w:cs="Times New Roman Regular"/>
          <w:sz w:val="22"/>
          <w:szCs w:val="22"/>
        </w:rPr>
      </w:pPr>
      <w:bookmarkStart w:id="0" w:name="_GoBack"/>
      <w:r>
        <w:rPr>
          <w:rFonts w:hint="default" w:ascii="Times New Roman Regular" w:hAnsi="Times New Roman Regular" w:cs="Times New Roman Regular"/>
          <w:sz w:val="22"/>
          <w:szCs w:val="22"/>
          <w:vertAlign w:val="superscript"/>
          <w:lang w:val="en-US"/>
        </w:rPr>
        <w:t>1</w:t>
      </w:r>
      <w:r>
        <w:rPr>
          <w:rFonts w:hint="default" w:ascii="Times New Roman Regular" w:hAnsi="Times New Roman Regular" w:cs="Times New Roman Regular"/>
          <w:sz w:val="22"/>
          <w:szCs w:val="22"/>
        </w:rPr>
        <w:t>Dr. drg. Supriyana, M.Pd</w:t>
      </w:r>
      <w:r>
        <w:rPr>
          <w:rFonts w:hint="default" w:ascii="Times New Roman Regular" w:hAnsi="Times New Roman Regular" w:cs="Times New Roman Regular"/>
          <w:sz w:val="22"/>
          <w:szCs w:val="22"/>
          <w:vertAlign w:val="superscript"/>
          <w:lang w:val="en-US"/>
        </w:rPr>
        <w:t>2</w:t>
      </w:r>
      <w:r>
        <w:rPr>
          <w:rFonts w:hint="default" w:ascii="Times New Roman Regular" w:hAnsi="Times New Roman Regular" w:cs="Times New Roman Regular"/>
          <w:sz w:val="22"/>
          <w:szCs w:val="22"/>
          <w:lang w:val="en-GB"/>
        </w:rPr>
        <w:t>Rose Asni Latifah, M.Tr.Kes</w:t>
      </w:r>
    </w:p>
    <w:p>
      <w:pPr>
        <w:pStyle w:val="23"/>
        <w:keepNext w:val="0"/>
        <w:keepLines w:val="0"/>
        <w:pageBreakBefore w:val="0"/>
        <w:widowControl/>
        <w:kinsoku/>
        <w:wordWrap/>
        <w:overflowPunct/>
        <w:topLinePunct w:val="0"/>
        <w:autoSpaceDE/>
        <w:autoSpaceDN/>
        <w:bidi w:val="0"/>
        <w:adjustRightInd/>
        <w:snapToGrid/>
        <w:spacing w:after="0" w:line="240" w:lineRule="auto"/>
        <w:ind w:left="0"/>
        <w:jc w:val="center"/>
        <w:textAlignment w:val="auto"/>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vertAlign w:val="superscript"/>
          <w:lang w:val="en-US"/>
        </w:rPr>
        <w:t>3</w:t>
      </w:r>
      <w:r>
        <w:rPr>
          <w:rFonts w:hint="default" w:ascii="Times New Roman Regular" w:hAnsi="Times New Roman Regular" w:cs="Times New Roman Regular"/>
          <w:sz w:val="22"/>
          <w:szCs w:val="22"/>
        </w:rPr>
        <w:t>Wanda Nur Aida, M.Tr.Kes</w:t>
      </w:r>
    </w:p>
    <w:bookmarkEnd w:id="0"/>
    <w:p>
      <w:pPr>
        <w:spacing w:after="0" w:line="240" w:lineRule="auto"/>
        <w:jc w:val="center"/>
        <w:rPr>
          <w:rFonts w:hint="default" w:ascii="Times New Roman Regular" w:hAnsi="Times New Roman Regular" w:eastAsia="Times New Roman" w:cs="Times New Roman Regular"/>
          <w:i/>
          <w:iCs/>
          <w:color w:val="000000"/>
          <w:kern w:val="2"/>
          <w:sz w:val="22"/>
          <w:szCs w:val="22"/>
          <w:highlight w:val="white"/>
          <w:lang w:val="en-US" w:eastAsia="id-ID"/>
        </w:rPr>
      </w:pPr>
      <w:r>
        <w:rPr>
          <w:rFonts w:hint="default" w:ascii="Times New Roman Regular" w:hAnsi="Times New Roman Regular" w:eastAsia="Times New Roman" w:cs="Times New Roman Regular"/>
          <w:i/>
          <w:color w:val="000000"/>
          <w:sz w:val="22"/>
          <w:szCs w:val="22"/>
          <w:highlight w:val="white"/>
          <w:vertAlign w:val="superscript"/>
        </w:rPr>
        <w:t>1</w:t>
      </w:r>
      <w:r>
        <w:rPr>
          <w:rFonts w:hint="default" w:ascii="Times New Roman Regular" w:hAnsi="Times New Roman Regular" w:eastAsia="Times New Roman" w:cs="Times New Roman Regular"/>
          <w:i/>
          <w:color w:val="000000"/>
          <w:sz w:val="22"/>
          <w:szCs w:val="22"/>
          <w:highlight w:val="white"/>
          <w:vertAlign w:val="superscript"/>
          <w:lang w:val="en-US"/>
        </w:rPr>
        <w:t>,23</w:t>
      </w:r>
      <w:r>
        <w:rPr>
          <w:rFonts w:hint="default" w:ascii="Times New Roman Regular" w:hAnsi="Times New Roman Regular" w:eastAsia="Times New Roman"/>
          <w:i/>
          <w:color w:val="000000"/>
          <w:sz w:val="22"/>
          <w:szCs w:val="22"/>
          <w:highlight w:val="white"/>
        </w:rPr>
        <w:t>department of dental health, health polytechnic, ministry of health, semarang</w:t>
      </w:r>
    </w:p>
    <w:p>
      <w:pPr>
        <w:spacing w:after="0" w:line="240" w:lineRule="auto"/>
        <w:rPr>
          <w:rFonts w:ascii="Times New Roman" w:hAnsi="Times New Roman" w:eastAsia="Times New Roman" w:cs="Times New Roman"/>
          <w:sz w:val="24"/>
          <w:szCs w:val="24"/>
        </w:rPr>
      </w:pPr>
    </w:p>
    <w:tbl>
      <w:tblPr>
        <w:tblStyle w:val="21"/>
        <w:tblW w:w="6887" w:type="dxa"/>
        <w:jc w:val="center"/>
        <w:tblLayout w:type="fixed"/>
        <w:tblCellMar>
          <w:top w:w="15" w:type="dxa"/>
          <w:left w:w="15" w:type="dxa"/>
          <w:bottom w:w="15" w:type="dxa"/>
          <w:right w:w="15" w:type="dxa"/>
        </w:tblCellMar>
      </w:tblPr>
      <w:tblGrid>
        <w:gridCol w:w="6887"/>
      </w:tblGrid>
      <w:tr>
        <w:trPr>
          <w:trHeight w:val="880" w:hRule="atLeast"/>
          <w:jc w:val="center"/>
        </w:trPr>
        <w:tc>
          <w:tcPr>
            <w:tcW w:w="6887" w:type="dxa"/>
            <w:tcMar>
              <w:top w:w="0" w:type="dxa"/>
              <w:left w:w="108" w:type="dxa"/>
              <w:bottom w:w="0" w:type="dxa"/>
              <w:right w:w="108" w:type="dxa"/>
            </w:tcMar>
          </w:tcPr>
          <w:p>
            <w:pPr>
              <w:spacing w:after="0" w:line="240" w:lineRule="auto"/>
              <w:jc w:val="center"/>
              <w:rPr>
                <w:rFonts w:hint="default"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rPr>
              <w:t xml:space="preserve">Corresponding author: </w:t>
            </w:r>
            <w:r>
              <w:rPr>
                <w:rFonts w:hint="default" w:ascii="Times New Roman" w:hAnsi="Times New Roman" w:eastAsia="Times New Roman" w:cs="Times New Roman"/>
                <w:color w:val="000000"/>
                <w:sz w:val="20"/>
                <w:szCs w:val="20"/>
                <w:lang w:val="en-US"/>
              </w:rPr>
              <w:t>roseaini</w:t>
            </w:r>
          </w:p>
          <w:p>
            <w:pPr>
              <w:spacing w:after="0" w:line="240" w:lineRule="auto"/>
              <w:jc w:val="center"/>
              <w:rPr>
                <w:rFonts w:hint="default" w:ascii="Times New Roman" w:hAnsi="Times New Roman" w:eastAsia="Times New Roman" w:cs="Times New Roman"/>
                <w:sz w:val="24"/>
                <w:szCs w:val="24"/>
                <w:lang w:val="en-US"/>
              </w:rPr>
            </w:pPr>
            <w:r>
              <w:rPr>
                <w:rFonts w:ascii="Times New Roman" w:hAnsi="Times New Roman" w:eastAsia="Times New Roman" w:cs="Times New Roman"/>
                <w:color w:val="000000"/>
                <w:sz w:val="20"/>
                <w:szCs w:val="20"/>
              </w:rPr>
              <w:t xml:space="preserve">Email: </w:t>
            </w:r>
            <w:r>
              <w:rPr>
                <w:rFonts w:hint="default" w:ascii="Times New Roman" w:hAnsi="Times New Roman" w:eastAsia="Times New Roman" w:cs="Times New Roman"/>
                <w:color w:val="000000"/>
                <w:sz w:val="20"/>
                <w:szCs w:val="20"/>
                <w:lang w:val="en-US"/>
              </w:rPr>
              <w:t>roseasnil@gmail.com</w:t>
            </w:r>
          </w:p>
          <w:p>
            <w:pPr>
              <w:shd w:val="clear" w:color="auto" w:fill="FFFFFF"/>
              <w:spacing w:after="0" w:line="240" w:lineRule="auto"/>
              <w:jc w:val="center"/>
              <w:rPr>
                <w:rFonts w:ascii="Times New Roman" w:hAnsi="Times New Roman" w:eastAsia="Times New Roman" w:cs="Times New Roman"/>
                <w:sz w:val="24"/>
                <w:szCs w:val="24"/>
              </w:rPr>
            </w:pPr>
          </w:p>
        </w:tc>
      </w:tr>
    </w:tbl>
    <w:p>
      <w:pPr>
        <w:spacing w:after="0" w:line="240" w:lineRule="auto"/>
        <w:rPr>
          <w:rFonts w:ascii="Times New Roman" w:hAnsi="Times New Roman" w:eastAsia="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Regular" w:hAnsi="Times New Roman Regular" w:eastAsia="Times New Roman" w:cs="Times New Roman Regular"/>
          <w:sz w:val="22"/>
          <w:szCs w:val="22"/>
        </w:rPr>
      </w:pPr>
      <w:r>
        <w:rPr>
          <w:rFonts w:hint="default" w:ascii="Times New Roman Regular" w:hAnsi="Times New Roman Regular" w:eastAsia="Times New Roman" w:cs="Times New Roman Regular"/>
          <w:b/>
          <w:color w:val="000000"/>
          <w:sz w:val="22"/>
          <w:szCs w:val="22"/>
        </w:rPr>
        <w:t>ABSTRACT</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color w:val="000000"/>
          <w:sz w:val="22"/>
          <w:szCs w:val="22"/>
        </w:rPr>
      </w:pPr>
      <w:r>
        <w:rPr>
          <w:rFonts w:hint="default" w:ascii="Times New Roman Regular" w:hAnsi="Times New Roman Regular" w:eastAsia="Times New Roman" w:cs="Times New Roman Regular"/>
          <w:color w:val="000000"/>
          <w:sz w:val="22"/>
          <w:szCs w:val="22"/>
        </w:rPr>
        <w:t xml:space="preserve">Background: According to the World Health Organization (WHO) in 2012, 90% of school children throughout the world experienced dental caries. The prevalence of caries in normal school-aged children in Vietnam is 87.9%, Brazil 68%, America 59%, India 58.6%, in Taiwan 37.30%, and in Indonesia 89%. Dental and oral health problems are not only experienced by school-age children with normal body conditions, but are also experienced by children with special needs. In accordance with the characteristics of autistic children, dental health education should use interesting learning methods that can produce understanding, develop imagination and provide enjoyment. One of the media that can be used in a learning method is a 3D modified puzzle. </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color w:val="000000"/>
          <w:sz w:val="22"/>
          <w:szCs w:val="22"/>
        </w:rPr>
      </w:pPr>
      <w:r>
        <w:rPr>
          <w:rFonts w:hint="default" w:ascii="Times New Roman Regular" w:hAnsi="Times New Roman Regular" w:eastAsia="Times New Roman" w:cs="Times New Roman Regular"/>
          <w:color w:val="000000"/>
          <w:sz w:val="22"/>
          <w:szCs w:val="22"/>
        </w:rPr>
        <w:t>Objective: To produce a 3D modified puzzle media model as a fun learning medium for autistic children, increase parents' knowledge about cariogenic foods as companions for children and increase children's knowledge about cariogenic foods.</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color w:val="000000"/>
          <w:sz w:val="22"/>
          <w:szCs w:val="22"/>
        </w:rPr>
      </w:pPr>
      <w:r>
        <w:rPr>
          <w:rFonts w:hint="default" w:ascii="Times New Roman Regular" w:hAnsi="Times New Roman Regular" w:eastAsia="Times New Roman" w:cs="Times New Roman Regular"/>
          <w:color w:val="000000"/>
          <w:sz w:val="22"/>
          <w:szCs w:val="22"/>
        </w:rPr>
        <w:t>Target audience: Semarang State SLB autistic children accompanied by their parents.</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color w:val="000000"/>
          <w:sz w:val="22"/>
          <w:szCs w:val="22"/>
        </w:rPr>
      </w:pPr>
      <w:r>
        <w:rPr>
          <w:rFonts w:hint="default" w:ascii="Times New Roman Regular" w:hAnsi="Times New Roman Regular" w:eastAsia="Times New Roman" w:cs="Times New Roman Regular"/>
          <w:color w:val="000000"/>
          <w:sz w:val="22"/>
          <w:szCs w:val="22"/>
        </w:rPr>
        <w:t>Method: The method used is a combination of several activity stages including initial data collection, intervention stage and evaluation stage.</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color w:val="000000"/>
          <w:sz w:val="22"/>
          <w:szCs w:val="22"/>
        </w:rPr>
      </w:pPr>
      <w:r>
        <w:rPr>
          <w:rFonts w:hint="default" w:ascii="Times New Roman Regular" w:hAnsi="Times New Roman Regular" w:eastAsia="Times New Roman" w:cs="Times New Roman Regular"/>
          <w:color w:val="000000"/>
          <w:sz w:val="22"/>
          <w:szCs w:val="22"/>
        </w:rPr>
        <w:t>Results: 1) licensing carried out on 13 August 2021, 2) field survey on 13 August 2021, 3) Preparation of work program on 20 August 2021, 4) Appreciation on 21 August 2021, 5) Distribution of props on 13 – 20 September 2021, 6) Counseling on October 1 2021 will be held online.</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color w:val="000000"/>
          <w:sz w:val="22"/>
          <w:szCs w:val="22"/>
        </w:rPr>
      </w:pPr>
      <w:r>
        <w:rPr>
          <w:rFonts w:hint="default" w:ascii="Times New Roman Regular" w:hAnsi="Times New Roman Regular" w:eastAsia="Times New Roman" w:cs="Times New Roman Regular"/>
          <w:color w:val="000000"/>
          <w:sz w:val="22"/>
          <w:szCs w:val="22"/>
        </w:rPr>
        <w:t xml:space="preserve">Conclusion: The dental and oral health maintenance behavior of autistic children is greatly influenced by the role of parents and those closest to them. So before delivering material or introductions, it is necessary to approach someone the child trusts. In this case, the role of parents, caregivers and children's teachers greatly influences the material presented. </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color w:val="000000"/>
          <w:sz w:val="22"/>
          <w:szCs w:val="22"/>
        </w:rPr>
      </w:pP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sz w:val="22"/>
          <w:szCs w:val="22"/>
          <w:lang w:val="en-US"/>
        </w:rPr>
      </w:pPr>
      <w:r>
        <w:rPr>
          <w:rFonts w:hint="default" w:ascii="Times New Roman Regular" w:hAnsi="Times New Roman Regular" w:eastAsia="Times New Roman" w:cs="Times New Roman Regular"/>
          <w:sz w:val="22"/>
          <w:szCs w:val="22"/>
        </w:rPr>
        <w:t>Keywords</w:t>
      </w:r>
      <w:r>
        <w:rPr>
          <w:rFonts w:hint="default" w:ascii="Times New Roman Regular" w:hAnsi="Times New Roman Regular" w:eastAsia="Times New Roman" w:cs="Times New Roman Regular"/>
          <w:color w:val="000000"/>
          <w:sz w:val="22"/>
          <w:szCs w:val="22"/>
        </w:rPr>
        <w:t xml:space="preserve">: </w:t>
      </w:r>
      <w:r>
        <w:rPr>
          <w:rFonts w:hint="default" w:ascii="Times New Roman Regular" w:hAnsi="Times New Roman Regular" w:eastAsia="Times New Roman" w:cs="Times New Roman Regular"/>
          <w:kern w:val="2"/>
          <w:sz w:val="22"/>
          <w:szCs w:val="22"/>
          <w:lang w:val="en-US" w:eastAsia="id-ID"/>
        </w:rPr>
        <w:t>service model, dental, children</w:t>
      </w:r>
    </w:p>
    <w:p>
      <w:pPr>
        <w:spacing w:after="0" w:line="240" w:lineRule="auto"/>
        <w:jc w:val="both"/>
        <w:rPr>
          <w:rFonts w:ascii="Times New Roman" w:hAnsi="Times New Roman" w:eastAsia="Times New Roman" w:cs="Times New Roman"/>
          <w:sz w:val="24"/>
          <w:szCs w:val="24"/>
        </w:rPr>
        <w:sectPr>
          <w:headerReference r:id="rId6" w:type="first"/>
          <w:footerReference r:id="rId8" w:type="first"/>
          <w:headerReference r:id="rId5" w:type="default"/>
          <w:footerReference r:id="rId7" w:type="default"/>
          <w:pgSz w:w="12240" w:h="15840"/>
          <w:pgMar w:top="1440" w:right="1440" w:bottom="1440" w:left="1440" w:header="964" w:footer="1008" w:gutter="0"/>
          <w:pgNumType w:start="1"/>
          <w:cols w:space="720" w:num="1"/>
          <w:titlePg/>
        </w:sectPr>
      </w:pPr>
      <w:r>
        <w:rPr>
          <w:rFonts w:ascii="Times New Roman" w:hAnsi="Times New Roman" w:eastAsia="Times New Roman" w:cs="Times New Roman"/>
          <w:sz w:val="24"/>
          <w:szCs w:val="24"/>
        </w:rPr>
        <w:br w:type="textWrapping"/>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Introduction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w:t>
      </w:r>
      <w:r>
        <w:rPr>
          <w:rFonts w:hint="default" w:ascii="Times New Roman Regular" w:hAnsi="Times New Roman Regular" w:eastAsia="Times New Roman" w:cs="Times New Roman Regular"/>
          <w:b/>
          <w:i/>
          <w:color w:val="000000"/>
          <w:sz w:val="24"/>
          <w:szCs w:val="24"/>
        </w:rPr>
        <w:t>Pendahuluan)</w:t>
      </w:r>
    </w:p>
    <w:p>
      <w:pPr>
        <w:keepNext w:val="0"/>
        <w:keepLines w:val="0"/>
        <w:pageBreakBefore w:val="0"/>
        <w:widowControl/>
        <w:kinsoku/>
        <w:wordWrap/>
        <w:overflowPunct/>
        <w:topLinePunct w:val="0"/>
        <w:autoSpaceDE/>
        <w:autoSpaceDN/>
        <w:bidi w:val="0"/>
        <w:adjustRightInd/>
        <w:snapToGrid/>
        <w:spacing w:after="0" w:line="240" w:lineRule="auto"/>
        <w:ind w:left="219"/>
        <w:jc w:val="both"/>
        <w:textAlignment w:val="auto"/>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color w:val="000000"/>
          <w:sz w:val="24"/>
          <w:szCs w:val="24"/>
        </w:rPr>
        <w:tab/>
      </w:r>
      <w:r>
        <w:rPr>
          <w:rFonts w:hint="default" w:ascii="Times New Roman Regular" w:hAnsi="Times New Roman Regular" w:cs="Times New Roman Regular"/>
          <w:color w:val="000000"/>
          <w:sz w:val="24"/>
          <w:szCs w:val="24"/>
        </w:rPr>
        <w:t>A dental and oral health problem that is widespread among most of the world's population is dental caries, which is a cavity characterized by progressive destruction of the enamel and dentin layers.  Globally, dental caries is a very high chronic condition and has a significant negative impact on a person's quality of life, starting from early age, adult age, to older age.</w:t>
      </w:r>
    </w:p>
    <w:p>
      <w:pPr>
        <w:keepNext w:val="0"/>
        <w:keepLines w:val="0"/>
        <w:pageBreakBefore w:val="0"/>
        <w:widowControl/>
        <w:kinsoku/>
        <w:wordWrap/>
        <w:overflowPunct/>
        <w:topLinePunct w:val="0"/>
        <w:autoSpaceDE/>
        <w:autoSpaceDN/>
        <w:bidi w:val="0"/>
        <w:adjustRightInd/>
        <w:snapToGrid/>
        <w:spacing w:after="0" w:line="240" w:lineRule="auto"/>
        <w:ind w:left="219"/>
        <w:jc w:val="both"/>
        <w:textAlignment w:val="auto"/>
        <w:rPr>
          <w:rFonts w:hint="default" w:ascii="Times New Roman Regular" w:hAnsi="Times New Roman Regular" w:cs="Times New Roman Regular"/>
          <w:color w:val="000000"/>
          <w:sz w:val="24"/>
          <w:szCs w:val="24"/>
          <w:lang w:val="id-ID" w:eastAsia="zh-CN"/>
        </w:rPr>
      </w:pPr>
      <w:r>
        <w:rPr>
          <w:rFonts w:hint="default" w:ascii="Times New Roman Regular" w:hAnsi="Times New Roman Regular" w:cs="Times New Roman Regular"/>
          <w:color w:val="000000"/>
          <w:sz w:val="24"/>
          <w:szCs w:val="24"/>
          <w:lang w:val="id-ID" w:eastAsia="zh-CN"/>
        </w:rPr>
        <w:t>The prevalence of dental caries has been experienced by all age groups in general, but for the younger generation it is more specifically visible. According to the World Health Organization (WHO) in 2012, 90% of school children throughout the world experienced dental caries. The prevalence of caries in normal school-aged children in Vietnam is 87.9%, Brazil 68%, America 59%, India 58.6%, in Taiwan 37.30%, and in Indonesia 89%. Dental and oral health problems are not only experienced by school-age children with normal body conditions, but are also experienced by children with special needs</w:t>
      </w:r>
    </w:p>
    <w:p>
      <w:pPr>
        <w:keepNext w:val="0"/>
        <w:keepLines w:val="0"/>
        <w:pageBreakBefore w:val="0"/>
        <w:widowControl/>
        <w:kinsoku/>
        <w:wordWrap/>
        <w:overflowPunct/>
        <w:topLinePunct w:val="0"/>
        <w:autoSpaceDE/>
        <w:autoSpaceDN/>
        <w:bidi w:val="0"/>
        <w:adjustRightInd/>
        <w:snapToGrid/>
        <w:spacing w:after="0" w:line="240" w:lineRule="auto"/>
        <w:ind w:left="219"/>
        <w:jc w:val="both"/>
        <w:textAlignment w:val="auto"/>
        <w:rPr>
          <w:rFonts w:hint="default" w:ascii="Times New Roman Regular" w:hAnsi="Times New Roman Regular" w:cs="Times New Roman Regular"/>
          <w:color w:val="000000"/>
          <w:sz w:val="24"/>
          <w:szCs w:val="24"/>
          <w:lang w:val="en-US" w:eastAsia="zh-CN"/>
        </w:rPr>
      </w:pPr>
      <w:r>
        <w:rPr>
          <w:rFonts w:hint="default" w:ascii="Times New Roman Regular" w:hAnsi="Times New Roman Regular" w:cs="Times New Roman Regular"/>
          <w:color w:val="000000"/>
          <w:sz w:val="24"/>
          <w:szCs w:val="24"/>
          <w:lang w:val="id-ID" w:eastAsia="zh-CN"/>
        </w:rPr>
        <w:t>Autistic children are children who have autism disorders. Autism or better known as Autism Spectrum Disorder (ASD) is a complex neurological developmental disorder that causes children to experience difficulties in terms of social interaction, communication and language, behavior, imagination, emotional disturbances, sensory perception and motoric aspects9, 10. In accordance With the characteristics of autistic children, dental health education should use interesting learning methods that can produce understanding, develop imagination and provide enjoyment. One method that can be used is</w:t>
      </w:r>
      <w:r>
        <w:rPr>
          <w:rFonts w:hint="default" w:ascii="Times New Roman Regular" w:hAnsi="Times New Roman Regular" w:cs="Times New Roman Regular"/>
          <w:color w:val="000000"/>
          <w:sz w:val="24"/>
          <w:szCs w:val="24"/>
          <w:lang w:val="en-US" w:eastAsia="zh-CN"/>
        </w:rPr>
        <w:t xml:space="preserve"> Cooperative learning is learning where children work together in groups and achieve their individual and group learning goals through feedback and discussion with friends. Cooperative learning types consist of jigsaw, group investigation, listening team, and make a match.</w:t>
      </w:r>
    </w:p>
    <w:p>
      <w:pPr>
        <w:keepNext w:val="0"/>
        <w:keepLines w:val="0"/>
        <w:pageBreakBefore w:val="0"/>
        <w:widowControl/>
        <w:kinsoku/>
        <w:wordWrap/>
        <w:overflowPunct/>
        <w:topLinePunct w:val="0"/>
        <w:autoSpaceDE/>
        <w:autoSpaceDN/>
        <w:bidi w:val="0"/>
        <w:adjustRightInd/>
        <w:snapToGrid/>
        <w:spacing w:after="0" w:line="240" w:lineRule="auto"/>
        <w:ind w:left="219"/>
        <w:jc w:val="both"/>
        <w:textAlignment w:val="auto"/>
        <w:rPr>
          <w:rFonts w:hint="default" w:ascii="Times New Roman Regular" w:hAnsi="Times New Roman Regular" w:cs="Times New Roman Regular"/>
          <w:color w:val="000000"/>
          <w:sz w:val="24"/>
          <w:szCs w:val="24"/>
          <w:lang w:val="en-US" w:eastAsia="zh-CN"/>
        </w:rPr>
      </w:pPr>
      <w:r>
        <w:rPr>
          <w:rFonts w:hint="default" w:ascii="Times New Roman Regular" w:hAnsi="Times New Roman Regular" w:cs="Times New Roman Regular"/>
          <w:color w:val="000000"/>
          <w:sz w:val="24"/>
          <w:szCs w:val="24"/>
          <w:lang w:val="en-US" w:eastAsia="zh-CN"/>
        </w:rPr>
        <w:t xml:space="preserve">Cooperative learning (cooperative learning) type make a match is one type of learning for children with special needs, where children are asked to find, match and pair picture cards as a medium. Fatimah's research (2017), proves that the make a match model improves children's skills, such as fostering an attitude of mutual respect, a critical attitude, an attitude of always achieving, respecting each other to motivate children so that they get more effective and efficient learning outcomes. </w:t>
      </w:r>
    </w:p>
    <w:p>
      <w:pPr>
        <w:keepNext w:val="0"/>
        <w:keepLines w:val="0"/>
        <w:pageBreakBefore w:val="0"/>
        <w:widowControl/>
        <w:kinsoku/>
        <w:wordWrap/>
        <w:overflowPunct/>
        <w:topLinePunct w:val="0"/>
        <w:autoSpaceDE/>
        <w:autoSpaceDN/>
        <w:bidi w:val="0"/>
        <w:adjustRightInd/>
        <w:snapToGrid/>
        <w:spacing w:after="0" w:line="240" w:lineRule="auto"/>
        <w:ind w:left="219"/>
        <w:jc w:val="both"/>
        <w:textAlignment w:val="auto"/>
        <w:rPr>
          <w:rFonts w:hint="default" w:ascii="Times New Roman Regular" w:hAnsi="Times New Roman Regular" w:cs="Times New Roman Regular"/>
          <w:color w:val="000000"/>
          <w:sz w:val="24"/>
          <w:szCs w:val="24"/>
          <w:lang w:val="en-US" w:eastAsia="zh-CN"/>
        </w:rPr>
      </w:pPr>
      <w:r>
        <w:rPr>
          <w:rFonts w:hint="default" w:ascii="Times New Roman Regular" w:hAnsi="Times New Roman Regular" w:cs="Times New Roman Regular"/>
          <w:color w:val="000000"/>
          <w:sz w:val="24"/>
          <w:szCs w:val="24"/>
          <w:lang w:val="en-US" w:eastAsia="zh-CN"/>
        </w:rPr>
        <w:t>One of the media that can be used in a learning method is a 3D modified puzzle, which is a medium for combining image fragments and then arranging them to form groups of types of food that are good and bad for dental health.</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Methods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w:t>
      </w:r>
      <w:r>
        <w:rPr>
          <w:rFonts w:hint="default" w:ascii="Times New Roman Regular" w:hAnsi="Times New Roman Regular" w:eastAsia="Times New Roman" w:cs="Times New Roman Regular"/>
          <w:b/>
          <w:i/>
          <w:color w:val="000000"/>
          <w:sz w:val="24"/>
          <w:szCs w:val="24"/>
        </w:rPr>
        <w:t>Metode Penelitian)</w:t>
      </w:r>
    </w:p>
    <w:p>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zh-CN"/>
        </w:rPr>
        <w:t>The first is the Service Method in the form of: preparation stage, stage, Initial Data Collection Stage, intervention stage</w:t>
      </w:r>
      <w:r>
        <w:rPr>
          <w:rFonts w:hint="default" w:ascii="Times New Roman Regular" w:hAnsi="Times New Roman Regular" w:eastAsia="Times New Roman" w:cs="Times New Roman Regular"/>
          <w:sz w:val="24"/>
          <w:szCs w:val="24"/>
          <w:lang w:val="en-US"/>
        </w:rPr>
        <w:t>. The second is a form of activity: making puzzles, output, promotional or outreach activities using 3D puzzles and their relationships.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Results and Discussion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w:t>
      </w:r>
      <w:r>
        <w:rPr>
          <w:rFonts w:hint="default" w:ascii="Times New Roman Regular" w:hAnsi="Times New Roman Regular" w:eastAsia="Times New Roman" w:cs="Times New Roman Regular"/>
          <w:b/>
          <w:i/>
          <w:color w:val="000000"/>
          <w:sz w:val="24"/>
          <w:szCs w:val="24"/>
        </w:rPr>
        <w:t>Hasil dan Pembahasan)</w:t>
      </w:r>
    </w:p>
    <w:p>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The behavior of autistic children regarding dental and oral health is still very dependent on other people, in this case the people closest to the child, namely the parents or child caregivers. Based on the results of community service carried out, children can follow instructions in brushing their teeth. Children can take part in tooth brushing activities according to the stages explained with repeated explanations with the help of parents.</w:t>
      </w:r>
    </w:p>
    <w:p>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Changes in improving skills for children with special needs can be carried out through repeated delivery or training. Apart from repeated delivery or training, the role of parents in assisting with tooth brushing greatly influences changes in children's tooth brushing behavior and the level of child dental hygiene.</w:t>
      </w:r>
    </w:p>
    <w:p>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sz w:val="24"/>
          <w:szCs w:val="24"/>
        </w:rPr>
        <w:t>Children's ability to recognize foods that are healthy and damaging to their teeth is also explored by introducing foods that are healthy and damaging to their teeth through puzzle media. This puzzle media is made in the form of a 3D puzzle to attract more children's attention. In 3D it is made on an imprabord board measuring 30 x 30 cm which is divided into 2 parts. The top part is for healthy teeth and the bottom part is food that damages teeth. There are 8 types of food that are healthy and damaging to teeth respectively. Children are explained about the types of food that are healthy and damaging to teeth, then children are invited to play to identify types of food and determine which types of food are good or bad for teeth.</w:t>
      </w:r>
    </w:p>
    <w:p>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rPr>
        <w:t>Children with autistic special needs have disorders in the areas of communication and gross and fine motor skills. The disturbance experienced by the child causes the child to be less able to understand the material provided to children in general. The material provided to children with autistic special needs must be appropriate to their needs. Providing appropriate material will increase the effectiveness of the learning process. Providing learning materials related to art and crafts</w:t>
      </w:r>
      <w:r>
        <w:rPr>
          <w:rFonts w:hint="default" w:ascii="Times New Roman Regular" w:hAnsi="Times New Roman Regular" w:eastAsia="Times New Roman" w:cs="Times New Roman Regular"/>
          <w:sz w:val="24"/>
          <w:szCs w:val="24"/>
          <w:lang w:val="en-US"/>
        </w:rPr>
        <w:t>. Hands can train children's fine motor skills (Damayanti et al, 2019). In this case, to improve children's fine motor skills, it is done by using the art of playing using 3D puzzle media regarding foods that are healthy and damage teeth39.</w:t>
      </w:r>
    </w:p>
    <w:p>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Regular" w:hAnsi="Times New Roman Regular" w:eastAsia="Times New Roman" w:cs="Times New Roman Regular"/>
          <w:sz w:val="24"/>
          <w:szCs w:val="24"/>
          <w:lang w:val="en-US"/>
        </w:rPr>
      </w:pPr>
      <w:r>
        <w:rPr>
          <w:rFonts w:hint="default" w:ascii="Times New Roman Regular" w:hAnsi="Times New Roman Regular" w:eastAsia="Times New Roman" w:cs="Times New Roman Regular"/>
          <w:sz w:val="24"/>
          <w:szCs w:val="24"/>
          <w:lang w:val="en-US"/>
        </w:rPr>
        <w:t>In community service activities regarding the implementation of the dental and oral health care service model for autistic children, parents and children were quite enthusiastic about participating. This was proven by the presence of 73.3% of all targets who were able to take part. There were other targets who were unable to participate due to the availability of online media for carrying out activities. Through this community service media, it is hoped that the ability of parents and autistic children will improve in maintaining better oral and dental health with the methods or methods provided.</w:t>
      </w:r>
    </w:p>
    <w:p>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Regular" w:hAnsi="Times New Roman Regular" w:eastAsia="Times New Roman" w:cs="Times New Roman Regular"/>
          <w:sz w:val="24"/>
          <w:szCs w:val="24"/>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Conclusion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i/>
          <w:color w:val="000000"/>
          <w:sz w:val="24"/>
          <w:szCs w:val="24"/>
        </w:rPr>
        <w:t>(Simpulan)</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color w:val="000000"/>
          <w:sz w:val="24"/>
          <w:szCs w:val="24"/>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color w:val="000000"/>
          <w:sz w:val="24"/>
          <w:szCs w:val="24"/>
        </w:rPr>
      </w:pPr>
      <w:r>
        <w:rPr>
          <w:rFonts w:hint="default" w:ascii="Times New Roman Regular" w:hAnsi="Times New Roman Regular" w:eastAsia="Times New Roman" w:cs="Times New Roman Regular"/>
          <w:color w:val="000000"/>
          <w:sz w:val="24"/>
          <w:szCs w:val="24"/>
        </w:rPr>
        <w:t>The dental and oral health maintenance behavior of autistic children is greatly influenced by the role of parents and those closest to the child. So before delivering material or introductions, it is necessary to approach someone the child trusts. In this case, the role of parents, caregivers and children's teachers greatly influences the material presented. Children can imitate how to brush their teeth properly and correctly with the help of their parents, and can recognize healthy and tooth-damaging foods with the help of playing methods using 3D puzzles. This activity was enthusiastically supported by parents because they were interested and increased their knowledge on how to maintain healthy teeth. Through this community service media, it is hoped that the ability of parents and autistic children will increase in maintaining better oral and dental health with the methods or methods provided.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color w:val="000000"/>
          <w:sz w:val="24"/>
          <w:szCs w:val="24"/>
        </w:rPr>
      </w:pP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color w:val="000000"/>
          <w:sz w:val="24"/>
          <w:szCs w:val="24"/>
        </w:rPr>
        <w:t>References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Regular" w:hAnsi="Times New Roman Regular" w:eastAsia="Times New Roman" w:cs="Times New Roman Regular"/>
          <w:sz w:val="24"/>
          <w:szCs w:val="24"/>
        </w:rPr>
      </w:pPr>
      <w:r>
        <w:rPr>
          <w:rFonts w:hint="default" w:ascii="Times New Roman Regular" w:hAnsi="Times New Roman Regular" w:eastAsia="Times New Roman" w:cs="Times New Roman Regular"/>
          <w:b/>
          <w:i/>
          <w:color w:val="000000"/>
          <w:sz w:val="24"/>
          <w:szCs w:val="24"/>
        </w:rPr>
        <w:t>(Daftar Pustaka)</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1.Rahayu SM. Early Intervention Detection in Autistic Children. Journal of Children's Education. 2014; Volume III.</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2. Koegel LK, Koegel RL, Ashbaugh K, Bradshaw J. The Importance Of Early Identification And Intervention For Children With Or At Risk For Autism Spectrum Disorders. International Journal Of Speech-Language Pathology. 2013;16(1):50-6.</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3. Gupta M. Oral Health Status And Dental Management Considerations In Autism. International Journal Of Contemporary Dental And Medical Reviews. 2014.</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4. Crane L, Chester JW, Goddard L, Henry LA, Hill E. Experiences Of Autism Diagnosis: A Survey Of Over 1000 Parents In The United Kingdom. Autism. 2015;20(2):153-62.</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5.Rahayu SM. Early Detection and Intervention in Autistic Children. Journal of Children's Education. 2014;Volume III, Issue 1.</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6.(WHO) WHO. Available From: Https://Www.Who.Int/News-Room/Fact- Sheets/Detail/Autism-Spectrum-Disorders.</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7. Baio J WL, Christensen DL, Et Al Prevalence Of Autism Spectrum Disorder Among Children Aged 8 Years — Autism And Developmental Disabilities Monitoring Network, 11 Sites, United States, 2014. MMWR Surveill Summ. 2018;67(No. SS-6):1–23.</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8. Please. Factors that Influence the Smoking Behavior of Vocational High School Students at the Indonesian Education Foundation Building Namorambe in 2014. Journal of Nutrition, Reproductive Health and Epidemiology. 2014;4.</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9. Kantohe Z, et al. Comparison of the Effectiveness of Dental Health Education Using Video and Flip Chart Media to Increase Children's Dental and Oral Health Knowledge. e-Dental Journal. 2016;4.</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10.Slavin Robert E ea. Cooperative Learning in Schools. International Encyclopedia of the Social &amp; Behavioral Sciences. 2015;4(881-886).</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11. Ji S-H, et al. Learning method for knowledge retention in CBR cost models. Automation in Construction. 2018;96:65-74</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12. Munadi Y. Learning Media, a New Approach. South Jakarta: GP Press Group; 2013.</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13. Wardhani SH. Play therapy: cooperative play with puzzles improves the socialization abilities of mentally retarded children. Journal of Airlangga University Surabaya. 2012.</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14.Fatimah D. Application of the Make a Match Learning Model with Picture Card Media to Increase Student Motivation and Learning Outcomes. Journal of Educational Theory and Practice Studies. 2017;2(1)</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2" w:hanging="562"/>
        <w:jc w:val="both"/>
        <w:textAlignment w:val="auto"/>
        <w:rPr>
          <w:rFonts w:hint="default" w:ascii="Times New Roman Regular" w:hAnsi="Times New Roman Regular" w:eastAsia="Times New Roman" w:cs="Times New Roman Regular"/>
          <w:sz w:val="24"/>
          <w:szCs w:val="24"/>
          <w:lang w:val="ms"/>
        </w:rPr>
      </w:pPr>
      <w:r>
        <w:rPr>
          <w:rFonts w:hint="default" w:ascii="Times New Roman Regular" w:hAnsi="Times New Roman Regular" w:eastAsia="Times New Roman" w:cs="Times New Roman Regular"/>
          <w:sz w:val="24"/>
          <w:szCs w:val="24"/>
          <w:lang w:val="ms"/>
        </w:rPr>
        <w:t>15. Asio. The Effect of Training Using the How to Brush Your Teeth Module on the Knowledge of Teachers at Unggul Sakti Elementary School, Jambi City, Dental Health Journal. 2016;3.</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7" w:hanging="567"/>
        <w:jc w:val="both"/>
        <w:textAlignment w:val="auto"/>
        <w:rPr>
          <w:rFonts w:hint="default" w:ascii="Times New Roman Regular" w:hAnsi="Times New Roman Regular" w:eastAsia="Book Antiqua" w:cs="Times New Roman Regular"/>
          <w:color w:val="000000"/>
          <w:sz w:val="24"/>
          <w:szCs w:val="24"/>
          <w:lang w:eastAsia="zh-CN"/>
        </w:rPr>
      </w:pPr>
      <w:r>
        <w:rPr>
          <w:rFonts w:hint="default" w:ascii="Times New Roman Regular" w:hAnsi="Times New Roman Regular" w:eastAsia="Times New Roman" w:cs="Times New Roman Regular"/>
          <w:sz w:val="24"/>
          <w:szCs w:val="24"/>
          <w:lang w:val="ms"/>
        </w:rPr>
        <w:t>16. Aqib Z. Models, Media and Contextual (Innovative) Learning Strategies. Bandung: Yrama Widya; 2013.</w:t>
      </w:r>
    </w:p>
    <w:p>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567" w:hanging="567"/>
        <w:jc w:val="both"/>
        <w:textAlignment w:val="auto"/>
        <w:rPr>
          <w:rFonts w:ascii="Book Antiqua" w:hAnsi="Book Antiqua" w:eastAsia="Book Antiqua" w:cs="Book Antiqua"/>
          <w:color w:val="000000"/>
          <w:sz w:val="20"/>
          <w:szCs w:val="20"/>
          <w:lang w:eastAsia="zh-CN"/>
        </w:rPr>
      </w:pPr>
      <w:r>
        <w:rPr>
          <w:rFonts w:ascii="Book Antiqua" w:hAnsi="Book Antiqua" w:eastAsia="Book Antiqua" w:cs="Book Antiqua"/>
          <w:color w:val="000000"/>
          <w:sz w:val="20"/>
          <w:szCs w:val="20"/>
          <w:lang w:eastAsia="zh-CN"/>
        </w:rPr>
        <w:t xml:space="preserve"> </w:t>
      </w:r>
    </w:p>
    <w:p>
      <w:pPr>
        <w:spacing w:after="0" w:line="240" w:lineRule="auto"/>
        <w:ind w:left="567" w:hanging="567"/>
        <w:jc w:val="both"/>
        <w:rPr>
          <w:rFonts w:ascii="Book Antiqua" w:hAnsi="Book Antiqua" w:eastAsia="Book Antiqua" w:cs="Book Antiqua"/>
          <w:color w:val="000000"/>
          <w:sz w:val="20"/>
          <w:szCs w:val="20"/>
          <w:lang w:eastAsia="zh-CN"/>
        </w:rPr>
      </w:pPr>
    </w:p>
    <w:p>
      <w:pPr>
        <w:spacing w:after="0" w:line="240" w:lineRule="auto"/>
        <w:ind w:left="567" w:hanging="567"/>
        <w:jc w:val="both"/>
        <w:rPr>
          <w:rFonts w:ascii="Book Antiqua" w:hAnsi="Book Antiqua" w:eastAsia="Book Antiqua" w:cs="Book Antiqua"/>
          <w:color w:val="000000"/>
          <w:sz w:val="20"/>
          <w:szCs w:val="20"/>
          <w:lang w:eastAsia="zh-CN"/>
        </w:rPr>
      </w:pPr>
    </w:p>
    <w:p>
      <w:pPr>
        <w:spacing w:line="240" w:lineRule="auto"/>
        <w:jc w:val="both"/>
        <w:rPr>
          <w:rFonts w:ascii="Book Antiqua" w:hAnsi="Book Antiqua" w:eastAsia="Book Antiqua" w:cs="Book Antiqua"/>
          <w:sz w:val="20"/>
          <w:szCs w:val="20"/>
          <w:lang w:eastAsia="zh-CN"/>
        </w:rPr>
        <w:sectPr>
          <w:type w:val="continuous"/>
          <w:pgSz w:w="11850" w:h="16783"/>
          <w:pgMar w:top="1701" w:right="1134" w:bottom="1134" w:left="1417" w:header="708" w:footer="709" w:gutter="0"/>
          <w:cols w:space="566" w:num="2"/>
          <w:docGrid w:linePitch="287" w:charSpace="0"/>
        </w:sectPr>
      </w:pPr>
    </w:p>
    <w:p>
      <w:pPr>
        <w:spacing w:line="240" w:lineRule="auto"/>
        <w:jc w:val="both"/>
        <w:rPr>
          <w:rFonts w:ascii="Book Antiqua" w:hAnsi="Book Antiqua" w:eastAsia="Book Antiqua" w:cs="Book Antiqua"/>
          <w:lang w:eastAsia="zh-CN"/>
        </w:rPr>
      </w:pPr>
    </w:p>
    <w:p>
      <w:pPr>
        <w:spacing w:after="0" w:line="240" w:lineRule="auto"/>
        <w:ind w:left="360"/>
        <w:jc w:val="both"/>
        <w:rPr>
          <w:rFonts w:ascii="Times New Roman" w:hAnsi="Times New Roman" w:eastAsia="Times New Roman" w:cs="Times New Roman"/>
          <w:sz w:val="24"/>
          <w:szCs w:val="24"/>
        </w:rPr>
      </w:pPr>
    </w:p>
    <w:sectPr>
      <w:type w:val="continuous"/>
      <w:pgSz w:w="12240" w:h="15840"/>
      <w:pgMar w:top="1440" w:right="1440" w:bottom="1440" w:left="1440" w:header="720" w:footer="864" w:gutter="0"/>
      <w:cols w:equalWidth="0" w:num="2">
        <w:col w:w="4320" w:space="720"/>
        <w:col w:w="43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Calibri">
    <w:altName w:val="Helvetica Neue"/>
    <w:panose1 w:val="020F0502020204030204"/>
    <w:charset w:val="86"/>
    <w:family w:val="swiss"/>
    <w:pitch w:val="default"/>
    <w:sig w:usb0="00000000" w:usb1="00000000" w:usb2="00000001" w:usb3="00000000" w:csb0="0000019F" w:csb1="00000000"/>
  </w:font>
  <w:font w:name="Tahoma">
    <w:panose1 w:val="020B0604030504040204"/>
    <w:charset w:val="00"/>
    <w:family w:val="swiss"/>
    <w:pitch w:val="default"/>
    <w:sig w:usb0="00000000" w:usb1="00000000" w:usb2="00000000" w:usb3="00000000" w:csb0="00000000" w:csb1="00000000"/>
  </w:font>
  <w:font w:name="Georgia">
    <w:panose1 w:val="02040502050405020303"/>
    <w:charset w:val="00"/>
    <w:family w:val="roman"/>
    <w:pitch w:val="default"/>
    <w:sig w:usb0="00000000" w:usb1="00000000" w:usb2="00000000" w:usb3="00000000" w:csb0="00000000" w:csb1="00000000"/>
  </w:font>
  <w:font w:name="Times New Roman Regular">
    <w:panose1 w:val="02020603050405020304"/>
    <w:charset w:val="00"/>
    <w:family w:val="auto"/>
    <w:pitch w:val="default"/>
    <w:sig w:usb0="00000000" w:usb1="00000000" w:usb2="00000000" w:usb3="00000000" w:csb0="00000000" w:csb1="00000000"/>
  </w:font>
  <w:font w:name="Book Antiqua">
    <w:altName w:val="苹方-简"/>
    <w:panose1 w:val="02040602050305030304"/>
    <w:charset w:val="00"/>
    <w:family w:val="roman"/>
    <w:pitch w:val="default"/>
    <w:sig w:usb0="00000000" w:usb1="00000000" w:usb2="00000000" w:usb3="00000000" w:csb0="0000009F" w:csb1="00000000"/>
  </w:font>
  <w:font w:name="苹方-简">
    <w:panose1 w:val="020B0400000000000000"/>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2</w:t>
    </w:r>
    <w:r>
      <w:rPr>
        <w:color w:val="000000"/>
      </w:rPr>
      <w:fldChar w:fldCharType="end"/>
    </w:r>
    <w:r>
      <w:rPr>
        <w:b/>
        <w:color w:val="000000"/>
      </w:rPr>
      <w:t xml:space="preserve"> | </w:t>
    </w:r>
    <w:r>
      <w:rPr>
        <w:color w:val="7F7F7F"/>
      </w:rPr>
      <w:t>Page</w:t>
    </w:r>
  </w:p>
  <w:p>
    <w:pPr>
      <w:pStyle w:val="22"/>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Style w:val="22"/>
      <w:jc w:val="both"/>
      <w:rPr>
        <w:rFonts w:ascii="Arial" w:hAnsi="Arial" w:eastAsia="Times New Roman" w:cs="Arial"/>
        <w:vanish/>
        <w:kern w:val="0"/>
        <w:sz w:val="16"/>
        <w:szCs w:val="16"/>
        <w:lang w:eastAsia="zh-CN"/>
        <w14:ligatures w14:val="none"/>
      </w:rPr>
    </w:pPr>
  </w:p>
  <w:p>
    <w:pPr>
      <w:pStyle w:val="22"/>
      <w:jc w:val="both"/>
      <w:rPr>
        <w:rFonts w:ascii="Arial" w:hAnsi="Arial" w:cs="Arial"/>
        <w:sz w:val="16"/>
        <w:szCs w:val="16"/>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rFonts w:ascii="Times New Roman" w:hAnsi="Times New Roman" w:eastAsia="Times New Roman" w:cs="Times New Roman"/>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r>
      <w:rPr>
        <w:b/>
        <w:color w:val="000000"/>
      </w:rPr>
      <w:t xml:space="preserve"> | </w:t>
    </w:r>
    <w:r>
      <w:rPr>
        <w:color w:val="7F7F7F"/>
      </w:rPr>
      <w:t>Page</w:t>
    </w:r>
  </w:p>
  <w:p>
    <w:pPr>
      <w:pStyle w:val="22"/>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Style w:val="22"/>
      <w:jc w:val="both"/>
      <w:rPr>
        <w:rFonts w:ascii="Arial" w:hAnsi="Arial" w:eastAsia="Times New Roman" w:cs="Arial"/>
        <w:vanish/>
        <w:kern w:val="0"/>
        <w:sz w:val="16"/>
        <w:szCs w:val="16"/>
        <w:lang w:eastAsia="zh-CN"/>
        <w14:ligatures w14:val="none"/>
      </w:rPr>
    </w:pPr>
  </w:p>
  <w:p>
    <w:pPr>
      <w:pStyle w:val="22"/>
      <w:jc w:val="both"/>
      <w:rPr>
        <w:rFonts w:ascii="Arial" w:hAnsi="Arial" w:cs="Arial"/>
        <w:sz w:val="16"/>
        <w:szCs w:val="16"/>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
      <w:jc w:val="both"/>
      <w:rPr>
        <w:color w:val="70AD47"/>
        <w:sz w:val="16"/>
        <w:szCs w:val="16"/>
        <w:u w:val="single"/>
      </w:rPr>
    </w:pPr>
  </w:p>
  <w:p>
    <w:pPr>
      <w:ind w:left="5040" w:right="-988" w:firstLine="720"/>
      <w:jc w:val="both"/>
      <w:rPr>
        <w:color w:val="70AD47"/>
        <w:sz w:val="16"/>
        <w:szCs w:val="16"/>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ind w:right="238"/>
      <w:jc w:val="center"/>
      <w:rPr>
        <w:rFonts w:ascii="Arial" w:hAnsi="Arial" w:eastAsia="Arial" w:cs="Arial"/>
        <w:b/>
        <w:color w:val="333333"/>
        <w:sz w:val="16"/>
        <w:szCs w:val="16"/>
      </w:rPr>
    </w:pPr>
    <w:r>
      <w:rPr>
        <w:rFonts w:ascii="Arial" w:hAnsi="Arial" w:cs="Arial"/>
        <w:b/>
        <w:bCs/>
        <w:sz w:val="16"/>
        <w:szCs w:val="16"/>
      </w:rPr>
      <w:t xml:space="preserve">WELCOME (WEALTH COMMUNITY EMPOWERMENT) JOURNAL </w:t>
    </w:r>
    <w:r>
      <w:rPr>
        <w:rFonts w:ascii="Arial" w:hAnsi="Arial" w:eastAsia="Arial" w:cs="Arial"/>
        <w:b/>
        <w:color w:val="333333"/>
        <w:sz w:val="16"/>
        <w:szCs w:val="16"/>
      </w:rPr>
      <w:t xml:space="preserve">Vol …., No …. (2024) </w: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Style w:val="22"/>
      <w:jc w:val="center"/>
      <w:rPr>
        <w:rFonts w:ascii="Arial" w:hAnsi="Arial" w:cs="Arial"/>
        <w:b/>
        <w:bCs/>
        <w:sz w:val="40"/>
        <w:szCs w:val="40"/>
      </w:rPr>
    </w:pPr>
    <w:r>
      <w:rPr>
        <w:rFonts w:ascii="Arial" w:hAnsi="Arial" w:cs="Arial"/>
        <w:b/>
        <w:bCs/>
        <w:sz w:val="40"/>
        <w:szCs w:val="40"/>
      </w:rPr>
      <w:t xml:space="preserve">WELCOME (WEALTH COMMUNITY EMPOWERMENT) JOURNAL </w:t>
    </w:r>
  </w:p>
  <w:p>
    <w:pPr>
      <w:spacing w:after="0" w:line="240" w:lineRule="auto"/>
      <w:ind w:left="1620" w:right="238"/>
      <w:jc w:val="center"/>
      <w:rPr>
        <w:rFonts w:ascii="Arial" w:hAnsi="Arial" w:eastAsia="Arial" w:cs="Arial"/>
        <w:b/>
        <w:color w:val="333333"/>
        <w:sz w:val="36"/>
        <w:szCs w:val="36"/>
      </w:rPr>
    </w:pPr>
    <w:r>
      <mc:AlternateContent>
        <mc:Choice Requires="wps">
          <w:drawing>
            <wp:anchor distT="45720" distB="45720" distL="114300" distR="114300" simplePos="0" relativeHeight="251660288" behindDoc="0" locked="0" layoutInCell="1" allowOverlap="1">
              <wp:simplePos x="0" y="0"/>
              <wp:positionH relativeFrom="column">
                <wp:posOffset>4851400</wp:posOffset>
              </wp:positionH>
              <wp:positionV relativeFrom="paragraph">
                <wp:posOffset>237490</wp:posOffset>
              </wp:positionV>
              <wp:extent cx="1562100" cy="533400"/>
              <wp:effectExtent l="0" t="0" r="0" b="0"/>
              <wp:wrapSquare wrapText="bothSides"/>
              <wp:docPr id="218" name="Rectangle 218"/>
              <wp:cNvGraphicFramePr/>
              <a:graphic xmlns:a="http://schemas.openxmlformats.org/drawingml/2006/main">
                <a:graphicData uri="http://schemas.microsoft.com/office/word/2010/wordprocessingShape">
                  <wps:wsp>
                    <wps:cNvSpPr/>
                    <wps:spPr>
                      <a:xfrm>
                        <a:off x="0" y="0"/>
                        <a:ext cx="1562100" cy="533400"/>
                      </a:xfrm>
                      <a:prstGeom prst="rect">
                        <a:avLst/>
                      </a:prstGeom>
                      <a:noFill/>
                      <a:ln>
                        <a:noFill/>
                      </a:ln>
                    </wps:spPr>
                    <wps:txbx>
                      <w:txbxContent>
                        <w:p>
                          <w:pPr>
                            <w:spacing w:line="258" w:lineRule="auto"/>
                            <w:jc w:val="center"/>
                          </w:pPr>
                          <w:r>
                            <w:rPr>
                              <w:color w:val="70AD47"/>
                              <w:sz w:val="16"/>
                              <w:u w:val="single"/>
                            </w:rPr>
                            <w:t>https://ejournal.poltekkes-smg.ac.id/ojs/index.php/welcomejournal</w:t>
                          </w:r>
                        </w:p>
                      </w:txbxContent>
                    </wps:txbx>
                    <wps:bodyPr spcFirstLastPara="1" wrap="square" lIns="91425" tIns="45700" rIns="91425" bIns="45700" anchor="t" anchorCtr="0">
                      <a:noAutofit/>
                    </wps:bodyPr>
                  </wps:wsp>
                </a:graphicData>
              </a:graphic>
            </wp:anchor>
          </w:drawing>
        </mc:Choice>
        <mc:Fallback>
          <w:pict>
            <v:rect id="Rectangle 218" o:spid="_x0000_s1026" o:spt="1" style="position:absolute;left:0pt;margin-left:382pt;margin-top:18.7pt;height:42pt;width:123pt;mso-wrap-distance-bottom:3.6pt;mso-wrap-distance-left:9pt;mso-wrap-distance-right:9pt;mso-wrap-distance-top:3.6pt;z-index:251660288;mso-width-relative:page;mso-height-relative:page;" filled="f" stroked="f" coordsize="21600,21600" o:gfxdata="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Amks1p1gAAAAsBAAAPAAAAAAAAAAEAIAAAADgAAABkcnMvZG93bnJldi54bWxQSwECFAAUAAAA&#10;CACHTuJA08e5gtoBAADGAwAADgAAAAAAAAABACAAAAA7AQAAZHJzL2Uyb0RvYy54bWxQSwUGAAAA&#10;AAYABgBZAQAAhwUAAAAA&#10;">
              <v:fill on="f" focussize="0,0"/>
              <v:stroke on="f"/>
              <v:imagedata o:title=""/>
              <o:lock v:ext="edit" aspectratio="f"/>
              <v:textbox inset="7.1988188976378pt,3.59842519685039pt,7.1988188976378pt,3.59842519685039pt">
                <w:txbxContent>
                  <w:p>
                    <w:pPr>
                      <w:spacing w:line="258" w:lineRule="auto"/>
                      <w:jc w:val="center"/>
                    </w:pPr>
                    <w:r>
                      <w:rPr>
                        <w:color w:val="70AD47"/>
                        <w:sz w:val="16"/>
                        <w:u w:val="single"/>
                      </w:rPr>
                      <w:t>https://ejournal.poltekkes-smg.ac.id/ojs/index.php/welcomejournal</w:t>
                    </w:r>
                  </w:p>
                </w:txbxContent>
              </v:textbox>
              <w10:wrap type="square"/>
            </v:rect>
          </w:pict>
        </mc:Fallback>
      </mc:AlternateConten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ind w:left="1080"/>
      <w:jc w:val="center"/>
      <w:rPr>
        <w:rFonts w:ascii="Arial" w:hAnsi="Arial" w:eastAsia="Arial" w:cs="Arial"/>
        <w:b/>
        <w:color w:val="000000"/>
        <w:highlight w:val="white"/>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rFonts w:ascii="Arial" w:hAnsi="Arial" w:eastAsia="Arial" w:cs="Arial"/>
        <w:b/>
        <w:color w:val="000000"/>
        <w:highlight w:val="whit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652"/>
    <w:rsid w:val="000B72F0"/>
    <w:rsid w:val="00137841"/>
    <w:rsid w:val="00205890"/>
    <w:rsid w:val="002F20F4"/>
    <w:rsid w:val="00303D58"/>
    <w:rsid w:val="00331EB0"/>
    <w:rsid w:val="003352E3"/>
    <w:rsid w:val="00456B6E"/>
    <w:rsid w:val="005A4362"/>
    <w:rsid w:val="00602B8A"/>
    <w:rsid w:val="00777AF1"/>
    <w:rsid w:val="008A5E84"/>
    <w:rsid w:val="00945652"/>
    <w:rsid w:val="00A06ACF"/>
    <w:rsid w:val="00A90763"/>
    <w:rsid w:val="00A941F5"/>
    <w:rsid w:val="00C975D1"/>
    <w:rsid w:val="00CF7C52"/>
    <w:rsid w:val="00D771BB"/>
    <w:rsid w:val="00EF17F7"/>
    <w:rsid w:val="00F537C9"/>
    <w:rsid w:val="5BD9D9AD"/>
    <w:rsid w:val="79FB66A1"/>
    <w:rsid w:val="7FB4D9D9"/>
    <w:rsid w:val="A77FA2C6"/>
    <w:rsid w:val="FFEF6871"/>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eastAsia="zh-CN"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20"/>
    <w:semiHidden/>
    <w:unhideWhenUsed/>
    <w:uiPriority w:val="99"/>
    <w:pPr>
      <w:spacing w:after="0" w:line="240" w:lineRule="auto"/>
    </w:pPr>
    <w:rPr>
      <w:rFonts w:ascii="Tahoma" w:hAnsi="Tahoma" w:cs="Tahoma"/>
      <w:sz w:val="16"/>
      <w:szCs w:val="16"/>
    </w:rPr>
  </w:style>
  <w:style w:type="paragraph" w:styleId="11">
    <w:name w:val="footer"/>
    <w:basedOn w:val="1"/>
    <w:link w:val="19"/>
    <w:unhideWhenUsed/>
    <w:uiPriority w:val="99"/>
    <w:pPr>
      <w:tabs>
        <w:tab w:val="center" w:pos="4680"/>
        <w:tab w:val="right" w:pos="9360"/>
      </w:tabs>
      <w:spacing w:after="0" w:line="240" w:lineRule="auto"/>
    </w:pPr>
  </w:style>
  <w:style w:type="paragraph" w:styleId="12">
    <w:name w:val="header"/>
    <w:basedOn w:val="1"/>
    <w:link w:val="18"/>
    <w:unhideWhenUsed/>
    <w:uiPriority w:val="99"/>
    <w:pPr>
      <w:tabs>
        <w:tab w:val="center" w:pos="4680"/>
        <w:tab w:val="right" w:pos="9360"/>
      </w:tabs>
      <w:spacing w:after="0" w:line="240" w:lineRule="auto"/>
    </w:pPr>
  </w:style>
  <w:style w:type="character" w:styleId="13">
    <w:name w:val="Hyperlink"/>
    <w:uiPriority w:val="0"/>
    <w:rPr>
      <w:color w:val="0000FF"/>
      <w:u w:val="single"/>
    </w:rPr>
  </w:style>
  <w:style w:type="paragraph" w:styleId="14">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5">
    <w:name w:val="Strong"/>
    <w:basedOn w:val="8"/>
    <w:qFormat/>
    <w:uiPriority w:val="22"/>
    <w:rPr>
      <w:b/>
      <w:bCs/>
    </w:rPr>
  </w:style>
  <w:style w:type="paragraph" w:styleId="16">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7">
    <w:name w:val="Title"/>
    <w:basedOn w:val="1"/>
    <w:next w:val="1"/>
    <w:qFormat/>
    <w:uiPriority w:val="10"/>
    <w:pPr>
      <w:keepNext/>
      <w:keepLines/>
      <w:spacing w:before="480" w:after="120"/>
    </w:pPr>
    <w:rPr>
      <w:b/>
      <w:sz w:val="72"/>
      <w:szCs w:val="72"/>
    </w:rPr>
  </w:style>
  <w:style w:type="character" w:customStyle="1" w:styleId="18">
    <w:name w:val="Header Char"/>
    <w:basedOn w:val="8"/>
    <w:link w:val="12"/>
    <w:uiPriority w:val="99"/>
  </w:style>
  <w:style w:type="character" w:customStyle="1" w:styleId="19">
    <w:name w:val="Footer Char"/>
    <w:basedOn w:val="8"/>
    <w:link w:val="11"/>
    <w:uiPriority w:val="99"/>
  </w:style>
  <w:style w:type="character" w:customStyle="1" w:styleId="20">
    <w:name w:val="Balloon Text Char"/>
    <w:basedOn w:val="8"/>
    <w:link w:val="10"/>
    <w:semiHidden/>
    <w:uiPriority w:val="99"/>
    <w:rPr>
      <w:rFonts w:ascii="Tahoma" w:hAnsi="Tahoma" w:cs="Tahoma"/>
      <w:sz w:val="16"/>
      <w:szCs w:val="16"/>
    </w:rPr>
  </w:style>
  <w:style w:type="table" w:customStyle="1" w:styleId="21">
    <w:name w:val="_Style 20"/>
    <w:basedOn w:val="9"/>
    <w:uiPriority w:val="0"/>
    <w:tblPr>
      <w:tblCellMar>
        <w:top w:w="15" w:type="dxa"/>
        <w:left w:w="15" w:type="dxa"/>
        <w:bottom w:w="15" w:type="dxa"/>
        <w:right w:w="15" w:type="dxa"/>
      </w:tblCellMar>
    </w:tblPr>
  </w:style>
  <w:style w:type="paragraph" w:styleId="22">
    <w:name w:val="No Spacing"/>
    <w:qFormat/>
    <w:uiPriority w:val="1"/>
    <w:pPr>
      <w:spacing w:after="0" w:line="240" w:lineRule="auto"/>
    </w:pPr>
    <w:rPr>
      <w:rFonts w:asciiTheme="minorHAnsi" w:hAnsiTheme="minorHAnsi" w:eastAsiaTheme="minorHAnsi" w:cstheme="minorBidi"/>
      <w:kern w:val="2"/>
      <w:sz w:val="22"/>
      <w:szCs w:val="22"/>
      <w:lang w:val="zh-CN" w:eastAsia="en-US" w:bidi="ar-SA"/>
      <w14:ligatures w14:val="standardContextual"/>
    </w:rPr>
  </w:style>
  <w:style w:type="paragraph" w:styleId="2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1184</Words>
  <Characters>6754</Characters>
  <Lines>56</Lines>
  <Paragraphs>15</Paragraphs>
  <TotalTime>11</TotalTime>
  <ScaleCrop>false</ScaleCrop>
  <LinksUpToDate>false</LinksUpToDate>
  <CharactersWithSpaces>7923</CharactersWithSpaces>
  <Application>WPS Office_5.7.3.8096_F1E327BC-269C-435d-A152-05C5408002CA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2020-10-06T18:39:00Z</dcterms:created>
  <dc:creator>Samsung</dc:creator>
  <cp:lastModifiedBy>Mega Indah</cp:lastModifiedBy>
  <dcterms:modified xsi:type="dcterms:W3CDTF">2024-08-06T18:02:15Z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1033-5.7.3.8096</vt:lpwstr>
  </property>
</Properties>
</file>