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EMPOWERING HEALTHY FOOD PRODUCTION OF "SOY BOB" SOY MILK FOR SMALL BUSINESS GROUPS IN MANGUNHARJO TEMBALANG SEMARANG</w:t>
      </w:r>
    </w:p>
    <w:p>
      <w:pPr>
        <w:spacing w:after="0" w:line="240" w:lineRule="auto"/>
        <w:rPr>
          <w:rFonts w:ascii="Times New Roman" w:hAnsi="Times New Roman" w:eastAsia="Times New Roman" w:cs="Times New Roman"/>
          <w:b/>
          <w:color w:val="000000"/>
          <w:sz w:val="24"/>
          <w:szCs w:val="24"/>
        </w:rPr>
      </w:pPr>
      <w:r>
        <w:rPr>
          <w:rFonts w:ascii="Times New Roman" w:hAnsi="Times New Roman" w:cs="Times New Roman"/>
        </w:rPr>
        <w:drawing>
          <wp:anchor distT="0" distB="0" distL="0" distR="0" simplePos="0" relativeHeight="251659264" behindDoc="1" locked="0" layoutInCell="1" allowOverlap="1">
            <wp:simplePos x="0" y="0"/>
            <wp:positionH relativeFrom="column">
              <wp:posOffset>-337820</wp:posOffset>
            </wp:positionH>
            <wp:positionV relativeFrom="paragraph">
              <wp:posOffset>224155</wp:posOffset>
            </wp:positionV>
            <wp:extent cx="6886575" cy="46355"/>
            <wp:effectExtent l="0" t="0" r="0" b="0"/>
            <wp:wrapNone/>
            <wp:docPr id="219" name="image1.jpg"/>
            <wp:cNvGraphicFramePr/>
            <a:graphic xmlns:a="http://schemas.openxmlformats.org/drawingml/2006/main">
              <a:graphicData uri="http://schemas.openxmlformats.org/drawingml/2006/picture">
                <pic:pic xmlns:pic="http://schemas.openxmlformats.org/drawingml/2006/picture">
                  <pic:nvPicPr>
                    <pic:cNvPr id="219" name="image1.jpg"/>
                    <pic:cNvPicPr preferRelativeResize="0"/>
                  </pic:nvPicPr>
                  <pic:blipFill>
                    <a:blip r:embed="rId10"/>
                    <a:srcRect b="89881"/>
                    <a:stretch>
                      <a:fillRect/>
                    </a:stretch>
                  </pic:blipFill>
                  <pic:spPr>
                    <a:xfrm>
                      <a:off x="0" y="0"/>
                      <a:ext cx="6886575" cy="46347"/>
                    </a:xfrm>
                    <a:prstGeom prst="rect">
                      <a:avLst/>
                    </a:prstGeom>
                  </pic:spPr>
                </pic:pic>
              </a:graphicData>
            </a:graphic>
          </wp:anchor>
        </w:drawing>
      </w:r>
    </w:p>
    <w:p>
      <w:pPr>
        <w:spacing w:after="0" w:line="240" w:lineRule="auto"/>
        <w:jc w:val="center"/>
        <w:rPr>
          <w:rFonts w:ascii="Times New Roman" w:hAnsi="Times New Roman" w:eastAsia="Times New Roman" w:cs="Times New Roman"/>
          <w:sz w:val="24"/>
          <w:szCs w:val="24"/>
        </w:rPr>
      </w:pPr>
    </w:p>
    <w:p>
      <w:pPr>
        <w:spacing w:after="0" w:line="240" w:lineRule="auto"/>
        <w:jc w:val="center"/>
        <w:rPr>
          <w:rFonts w:ascii="Times New Roman" w:hAnsi="Times New Roman" w:eastAsia="Times New Roman" w:cs="Times New Roman"/>
          <w:bCs/>
          <w:sz w:val="20"/>
          <w:szCs w:val="20"/>
        </w:rPr>
      </w:pPr>
      <w:r>
        <w:rPr>
          <w:rFonts w:ascii="Times New Roman" w:hAnsi="Times New Roman" w:cs="Times New Roman"/>
          <w:bCs/>
          <w:sz w:val="20"/>
          <w:szCs w:val="20"/>
        </w:rPr>
        <w:t>Fatimah Fatimah</w:t>
      </w:r>
      <w:r>
        <w:rPr>
          <w:rFonts w:ascii="Times New Roman" w:hAnsi="Times New Roman" w:eastAsia="Times New Roman" w:cs="Times New Roman"/>
          <w:bCs/>
          <w:color w:val="000000"/>
          <w:sz w:val="20"/>
          <w:szCs w:val="20"/>
          <w:u w:val="single"/>
          <w:vertAlign w:val="superscript"/>
        </w:rPr>
        <w:t>1</w:t>
      </w:r>
      <w:r>
        <w:rPr>
          <w:rFonts w:ascii="Times New Roman" w:hAnsi="Times New Roman" w:eastAsia="Times New Roman" w:cs="Times New Roman"/>
          <w:bCs/>
          <w:color w:val="000000"/>
          <w:sz w:val="20"/>
          <w:szCs w:val="20"/>
          <w:u w:val="single"/>
        </w:rPr>
        <w:t xml:space="preserve">; </w:t>
      </w:r>
      <w:r>
        <w:rPr>
          <w:rFonts w:ascii="Times New Roman" w:hAnsi="Times New Roman" w:cs="Times New Roman"/>
          <w:bCs/>
          <w:sz w:val="20"/>
          <w:szCs w:val="20"/>
        </w:rPr>
        <w:t>Siti Masrochah</w:t>
      </w:r>
      <w:r>
        <w:rPr>
          <w:rFonts w:ascii="Times New Roman" w:hAnsi="Times New Roman" w:eastAsia="Times New Roman" w:cs="Times New Roman"/>
          <w:bCs/>
          <w:color w:val="000000"/>
          <w:sz w:val="20"/>
          <w:szCs w:val="20"/>
          <w:u w:val="single"/>
          <w:vertAlign w:val="superscript"/>
        </w:rPr>
        <w:t>2</w:t>
      </w:r>
      <w:r>
        <w:rPr>
          <w:rFonts w:ascii="Times New Roman" w:hAnsi="Times New Roman" w:eastAsia="Times New Roman" w:cs="Times New Roman"/>
          <w:bCs/>
          <w:color w:val="000000"/>
          <w:sz w:val="20"/>
          <w:szCs w:val="20"/>
          <w:u w:val="single"/>
        </w:rPr>
        <w:t xml:space="preserve">; </w:t>
      </w:r>
      <w:r>
        <w:rPr>
          <w:rFonts w:ascii="Times New Roman" w:hAnsi="Times New Roman" w:cs="Times New Roman"/>
          <w:bCs/>
          <w:sz w:val="20"/>
          <w:szCs w:val="20"/>
        </w:rPr>
        <w:t>Yeti Kartikasari</w:t>
      </w:r>
      <w:r>
        <w:rPr>
          <w:rFonts w:ascii="Times New Roman" w:hAnsi="Times New Roman" w:eastAsia="Times New Roman" w:cs="Times New Roman"/>
          <w:bCs/>
          <w:color w:val="000000"/>
          <w:sz w:val="20"/>
          <w:szCs w:val="20"/>
          <w:vertAlign w:val="superscript"/>
        </w:rPr>
        <w:t xml:space="preserve"> 3</w:t>
      </w:r>
      <w:r>
        <w:rPr>
          <w:rFonts w:ascii="Times New Roman" w:hAnsi="Times New Roman" w:eastAsia="Times New Roman" w:cs="Times New Roman"/>
          <w:bCs/>
          <w:color w:val="000000"/>
          <w:sz w:val="20"/>
          <w:szCs w:val="20"/>
        </w:rPr>
        <w:t xml:space="preserve">; </w:t>
      </w:r>
      <w:r>
        <w:rPr>
          <w:rFonts w:ascii="Times New Roman" w:hAnsi="Times New Roman" w:cs="Times New Roman"/>
          <w:bCs/>
          <w:sz w:val="20"/>
          <w:szCs w:val="20"/>
        </w:rPr>
        <w:t>Veny Nur Aini</w:t>
      </w:r>
      <w:r>
        <w:rPr>
          <w:rFonts w:ascii="Times New Roman" w:hAnsi="Times New Roman" w:eastAsia="Times New Roman" w:cs="Times New Roman"/>
          <w:bCs/>
          <w:color w:val="000000"/>
          <w:sz w:val="20"/>
          <w:szCs w:val="20"/>
          <w:vertAlign w:val="superscript"/>
        </w:rPr>
        <w:t xml:space="preserve"> 4</w:t>
      </w:r>
      <w:r>
        <w:rPr>
          <w:rFonts w:ascii="Times New Roman" w:hAnsi="Times New Roman" w:eastAsia="Times New Roman" w:cs="Times New Roman"/>
          <w:bCs/>
          <w:color w:val="000000"/>
          <w:sz w:val="20"/>
          <w:szCs w:val="20"/>
        </w:rPr>
        <w:t xml:space="preserve">; </w:t>
      </w:r>
      <w:r>
        <w:rPr>
          <w:rFonts w:ascii="Times New Roman" w:hAnsi="Times New Roman" w:cs="Times New Roman"/>
          <w:bCs/>
          <w:sz w:val="20"/>
          <w:szCs w:val="20"/>
        </w:rPr>
        <w:t>Dimas Prakoso</w:t>
      </w:r>
      <w:r>
        <w:rPr>
          <w:rFonts w:ascii="Times New Roman" w:hAnsi="Times New Roman" w:eastAsia="Times New Roman" w:cs="Times New Roman"/>
          <w:bCs/>
          <w:color w:val="000000"/>
          <w:sz w:val="20"/>
          <w:szCs w:val="20"/>
          <w:vertAlign w:val="superscript"/>
        </w:rPr>
        <w:t xml:space="preserve"> 5</w:t>
      </w:r>
      <w:r>
        <w:rPr>
          <w:rFonts w:ascii="Times New Roman" w:hAnsi="Times New Roman" w:eastAsia="Times New Roman" w:cs="Times New Roman"/>
          <w:bCs/>
          <w:color w:val="000000"/>
          <w:sz w:val="20"/>
          <w:szCs w:val="20"/>
        </w:rPr>
        <w:t xml:space="preserve">; </w:t>
      </w:r>
      <w:r>
        <w:rPr>
          <w:rFonts w:ascii="Times New Roman" w:hAnsi="Times New Roman" w:cs="Times New Roman"/>
          <w:bCs/>
          <w:sz w:val="20"/>
          <w:szCs w:val="20"/>
        </w:rPr>
        <w:t>Ria Ambarwati</w:t>
      </w:r>
      <w:r>
        <w:rPr>
          <w:rFonts w:ascii="Times New Roman" w:hAnsi="Times New Roman" w:eastAsia="Times New Roman" w:cs="Times New Roman"/>
          <w:bCs/>
          <w:color w:val="000000"/>
          <w:sz w:val="20"/>
          <w:szCs w:val="20"/>
          <w:vertAlign w:val="superscript"/>
        </w:rPr>
        <w:t xml:space="preserve"> 6</w:t>
      </w:r>
    </w:p>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i/>
          <w:color w:val="000000"/>
          <w:sz w:val="20"/>
          <w:szCs w:val="20"/>
          <w:vertAlign w:val="superscript"/>
        </w:rPr>
        <w:t>1</w:t>
      </w:r>
      <w:r>
        <w:rPr>
          <w:rFonts w:ascii="Times New Roman" w:hAnsi="Times New Roman" w:eastAsia="Times New Roman" w:cs="Times New Roman"/>
          <w:i/>
          <w:color w:val="000000"/>
          <w:sz w:val="20"/>
          <w:szCs w:val="20"/>
        </w:rPr>
        <w:t>Radiodiagnostic and Radiotherapy Technic Department, Poltekkes Kemenkes Semarang, Indonesia</w:t>
      </w:r>
    </w:p>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i/>
          <w:color w:val="000000"/>
          <w:sz w:val="20"/>
          <w:szCs w:val="20"/>
          <w:vertAlign w:val="superscript"/>
        </w:rPr>
        <w:t>2</w:t>
      </w:r>
      <w:r>
        <w:rPr>
          <w:rFonts w:ascii="Times New Roman" w:hAnsi="Times New Roman" w:eastAsia="Times New Roman" w:cs="Times New Roman"/>
          <w:i/>
          <w:color w:val="000000"/>
          <w:sz w:val="20"/>
          <w:szCs w:val="20"/>
        </w:rPr>
        <w:t>Radiodiagnostic and Radiotherapy Technic Department, Poltekkes Kemenkes Semarang, Indonesia</w:t>
      </w:r>
    </w:p>
    <w:p>
      <w:pPr>
        <w:spacing w:after="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i/>
          <w:color w:val="000000"/>
          <w:sz w:val="20"/>
          <w:szCs w:val="20"/>
          <w:vertAlign w:val="superscript"/>
        </w:rPr>
        <w:t>3</w:t>
      </w:r>
      <w:r>
        <w:rPr>
          <w:rFonts w:ascii="Times New Roman" w:hAnsi="Times New Roman" w:eastAsia="Times New Roman" w:cs="Times New Roman"/>
          <w:i/>
          <w:color w:val="000000"/>
          <w:sz w:val="20"/>
          <w:szCs w:val="20"/>
        </w:rPr>
        <w:t>Radiodiagnostic and Radiotherapy Technic Department, Poltekkes Kemenkes Semarang, Indonesia</w:t>
      </w:r>
    </w:p>
    <w:p>
      <w:pPr>
        <w:spacing w:after="0" w:line="240" w:lineRule="auto"/>
        <w:jc w:val="center"/>
        <w:rPr>
          <w:rFonts w:ascii="Times New Roman" w:hAnsi="Times New Roman" w:eastAsia="Times New Roman" w:cs="Times New Roman"/>
          <w:i/>
          <w:color w:val="000000"/>
          <w:sz w:val="20"/>
          <w:szCs w:val="20"/>
        </w:rPr>
      </w:pPr>
      <w:r>
        <w:rPr>
          <w:rFonts w:ascii="Times New Roman" w:hAnsi="Times New Roman" w:eastAsia="Times New Roman" w:cs="Times New Roman"/>
          <w:i/>
          <w:color w:val="000000"/>
          <w:sz w:val="20"/>
          <w:szCs w:val="20"/>
          <w:vertAlign w:val="superscript"/>
        </w:rPr>
        <w:t>4</w:t>
      </w:r>
      <w:r>
        <w:rPr>
          <w:rFonts w:ascii="Times New Roman" w:hAnsi="Times New Roman" w:eastAsia="Times New Roman" w:cs="Times New Roman"/>
          <w:i/>
          <w:color w:val="000000"/>
          <w:sz w:val="20"/>
          <w:szCs w:val="20"/>
        </w:rPr>
        <w:t>Radiodiagnostic and Radiotherapy Technic Department, Poltekkes Kemenkes Semarang, Indonesia</w:t>
      </w:r>
    </w:p>
    <w:p>
      <w:pPr>
        <w:spacing w:after="0" w:line="240" w:lineRule="auto"/>
        <w:jc w:val="center"/>
        <w:rPr>
          <w:rFonts w:ascii="Times New Roman" w:hAnsi="Times New Roman" w:eastAsia="Times New Roman" w:cs="Times New Roman"/>
          <w:i/>
          <w:color w:val="000000"/>
          <w:sz w:val="20"/>
          <w:szCs w:val="20"/>
        </w:rPr>
      </w:pPr>
      <w:r>
        <w:rPr>
          <w:rFonts w:ascii="Times New Roman" w:hAnsi="Times New Roman" w:eastAsia="Times New Roman" w:cs="Times New Roman"/>
          <w:i/>
          <w:color w:val="000000"/>
          <w:sz w:val="20"/>
          <w:szCs w:val="20"/>
          <w:vertAlign w:val="superscript"/>
        </w:rPr>
        <w:t>5</w:t>
      </w:r>
      <w:r>
        <w:rPr>
          <w:rFonts w:ascii="Times New Roman" w:hAnsi="Times New Roman" w:eastAsia="Times New Roman" w:cs="Times New Roman"/>
          <w:i/>
          <w:color w:val="000000"/>
          <w:sz w:val="20"/>
          <w:szCs w:val="20"/>
        </w:rPr>
        <w:t>Radiodiagnostic and Radiotherapy Technic Department, Poltekkes Kemenkes Semarang, Indonesia</w:t>
      </w:r>
    </w:p>
    <w:p>
      <w:pPr>
        <w:spacing w:after="0" w:line="240" w:lineRule="auto"/>
        <w:jc w:val="center"/>
        <w:rPr>
          <w:rFonts w:ascii="Times New Roman" w:hAnsi="Times New Roman" w:eastAsia="Times New Roman" w:cs="Times New Roman"/>
          <w:i/>
          <w:sz w:val="24"/>
          <w:szCs w:val="24"/>
        </w:rPr>
      </w:pPr>
      <w:r>
        <w:rPr>
          <w:rFonts w:ascii="Times New Roman" w:hAnsi="Times New Roman" w:eastAsia="Times New Roman" w:cs="Times New Roman"/>
          <w:i/>
          <w:color w:val="000000"/>
          <w:sz w:val="20"/>
          <w:szCs w:val="20"/>
          <w:vertAlign w:val="superscript"/>
        </w:rPr>
        <w:t>6</w:t>
      </w:r>
      <w:r>
        <w:rPr>
          <w:rFonts w:ascii="Times New Roman" w:hAnsi="Times New Roman" w:eastAsia="Times New Roman" w:cs="Times New Roman"/>
          <w:i/>
          <w:color w:val="000000"/>
          <w:sz w:val="20"/>
          <w:szCs w:val="20"/>
        </w:rPr>
        <w:t xml:space="preserve">Nutrition Department, Poltekkes Kemenkes Semarang, Indonesia </w:t>
      </w:r>
    </w:p>
    <w:p>
      <w:pPr>
        <w:spacing w:after="0" w:line="240" w:lineRule="auto"/>
        <w:rPr>
          <w:rFonts w:ascii="Times New Roman" w:hAnsi="Times New Roman" w:eastAsia="Times New Roman" w:cs="Times New Roman"/>
          <w:sz w:val="24"/>
          <w:szCs w:val="24"/>
        </w:rPr>
      </w:pPr>
    </w:p>
    <w:tbl>
      <w:tblPr>
        <w:tblStyle w:val="23"/>
        <w:tblW w:w="6887" w:type="dxa"/>
        <w:jc w:val="center"/>
        <w:tblLayout w:type="fixed"/>
        <w:tblCellMar>
          <w:top w:w="15" w:type="dxa"/>
          <w:left w:w="15" w:type="dxa"/>
          <w:bottom w:w="15" w:type="dxa"/>
          <w:right w:w="15" w:type="dxa"/>
        </w:tblCellMar>
      </w:tblPr>
      <w:tblGrid>
        <w:gridCol w:w="6887"/>
      </w:tblGrid>
      <w:tr>
        <w:trPr>
          <w:trHeight w:val="880" w:hRule="atLeast"/>
          <w:jc w:val="center"/>
        </w:trPr>
        <w:tc>
          <w:tcPr>
            <w:tcW w:w="6887" w:type="dxa"/>
            <w:tcMar>
              <w:top w:w="0" w:type="dxa"/>
              <w:left w:w="108" w:type="dxa"/>
              <w:bottom w:w="0" w:type="dxa"/>
              <w:right w:w="108" w:type="dxa"/>
            </w:tcMar>
          </w:tcPr>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20"/>
                <w:szCs w:val="20"/>
              </w:rPr>
              <w:t xml:space="preserve">Corresponding author: </w:t>
            </w:r>
            <w:r>
              <w:rPr>
                <w:rFonts w:ascii="Times New Roman" w:hAnsi="Times New Roman" w:cs="Times New Roman"/>
                <w:bCs/>
                <w:sz w:val="20"/>
                <w:szCs w:val="20"/>
              </w:rPr>
              <w:t>Fatimah Fatimah</w:t>
            </w:r>
          </w:p>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20"/>
                <w:szCs w:val="20"/>
              </w:rPr>
              <w:t>Email: fatimah_yunaeza@yahoo.com</w:t>
            </w:r>
          </w:p>
          <w:p>
            <w:pPr>
              <w:shd w:val="clear" w:color="auto" w:fill="FFFFFF"/>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tc>
      </w:tr>
    </w:tbl>
    <w:p>
      <w:pPr>
        <w:spacing w:after="0" w:line="240" w:lineRule="auto"/>
        <w:rPr>
          <w:rFonts w:ascii="Times New Roman" w:hAnsi="Times New Roman" w:eastAsia="Times New Roman" w:cs="Times New Roman"/>
          <w:sz w:val="24"/>
          <w:szCs w:val="24"/>
        </w:rPr>
      </w:pPr>
    </w:p>
    <w:p>
      <w:pPr>
        <w:spacing w:after="0" w:line="240" w:lineRule="auto"/>
        <w:jc w:val="center"/>
        <w:rPr>
          <w:rFonts w:ascii="Times New Roman" w:hAnsi="Times New Roman" w:eastAsia="Times New Roman" w:cs="Times New Roman"/>
        </w:rPr>
      </w:pPr>
      <w:r>
        <w:rPr>
          <w:rFonts w:ascii="Times New Roman" w:hAnsi="Times New Roman" w:eastAsia="Times New Roman" w:cs="Times New Roman"/>
          <w:b/>
          <w:color w:val="000000"/>
        </w:rPr>
        <w:t>ABSTRACT</w:t>
      </w:r>
    </w:p>
    <w:p>
      <w:pPr>
        <w:spacing w:after="0" w:line="240" w:lineRule="auto"/>
        <w:ind w:firstLine="567"/>
        <w:jc w:val="both"/>
        <w:rPr>
          <w:rFonts w:ascii="Times New Roman" w:hAnsi="Times New Roman" w:cs="Times New Roman"/>
          <w:sz w:val="24"/>
          <w:szCs w:val="24"/>
        </w:rPr>
      </w:pPr>
      <w:r>
        <w:rPr>
          <w:rFonts w:ascii="Times New Roman" w:hAnsi="Times New Roman" w:eastAsia="Times New Roman" w:cs="Times New Roman"/>
        </w:rPr>
        <w:t xml:space="preserve">This Soy Bob product is different from the soy milk that is usually circulated and known to the public. On the other hand, all works do not have patents or copyrights with their unique characteristics, as well as packaging management and marketing efforts. Likewise, this small soy milk culinary business is managed traditionally, both packaging and not having an AKG value, expired, as well as marketing efforts. Therefore, </w:t>
      </w:r>
      <w:r>
        <w:rPr>
          <w:rFonts w:ascii="Times New Roman" w:hAnsi="Times New Roman" w:eastAsia="Times New Roman" w:cs="Times New Roman"/>
          <w:b/>
          <w:bCs/>
        </w:rPr>
        <w:t>the aim</w:t>
      </w:r>
      <w:r>
        <w:rPr>
          <w:rFonts w:ascii="Times New Roman" w:hAnsi="Times New Roman" w:eastAsia="Times New Roman" w:cs="Times New Roman"/>
        </w:rPr>
        <w:t xml:space="preserve"> of this community service is expected to be to strengthen the quality of small business products in the Mangunharjo Tembalang area. The population for this activity was residents of RW V, Mangunharjo Tembalang Village. </w:t>
      </w:r>
      <w:r>
        <w:rPr>
          <w:rFonts w:ascii="Times New Roman" w:hAnsi="Times New Roman" w:eastAsia="Times New Roman" w:cs="Times New Roman"/>
          <w:b/>
          <w:bCs/>
        </w:rPr>
        <w:t>The method</w:t>
      </w:r>
      <w:r>
        <w:rPr>
          <w:rFonts w:ascii="Times New Roman" w:hAnsi="Times New Roman" w:eastAsia="Times New Roman" w:cs="Times New Roman"/>
        </w:rPr>
        <w:t xml:space="preserve"> used in this activity was a training approach, followed by program implementation by assisting certification, licensing and there was an evaluation at each stage will be carried out to obtain feedback and further improvement efforts. </w:t>
      </w:r>
      <w:r>
        <w:rPr>
          <w:rFonts w:ascii="Times New Roman" w:hAnsi="Times New Roman" w:eastAsia="Times New Roman" w:cs="Times New Roman"/>
          <w:b/>
          <w:bCs/>
        </w:rPr>
        <w:t>The results and discussions</w:t>
      </w:r>
      <w:r>
        <w:rPr>
          <w:rFonts w:ascii="Times New Roman" w:hAnsi="Times New Roman" w:eastAsia="Times New Roman" w:cs="Times New Roman"/>
        </w:rPr>
        <w:t xml:space="preserve"> of this activity were the awareness and understanding of visitors regarding health and the importance of consuming soy milk and the NIB registration for Soy Bob soy milk had been registered. In addition, the NIB and PIRT registration guide for Small Businesses had been compiled, Soy Bob product booklets and books had been copyrighted. </w:t>
      </w:r>
      <w:r>
        <w:rPr>
          <w:rFonts w:ascii="Times New Roman" w:hAnsi="Times New Roman" w:eastAsia="Times New Roman" w:cs="Times New Roman"/>
          <w:b/>
          <w:bCs/>
        </w:rPr>
        <w:t>The conclusion</w:t>
      </w:r>
      <w:r>
        <w:rPr>
          <w:rFonts w:ascii="Times New Roman" w:hAnsi="Times New Roman" w:eastAsia="Times New Roman" w:cs="Times New Roman"/>
        </w:rPr>
        <w:t xml:space="preserve"> from this activity was that it could be carried out well. There was increasing public awareness of the importance of "Soy Bob" soy milk for health. For this reason, it is necessary to increase the motivation of the assisted villages to produce other healthy food and drink products to improve health as well as to increase the income of the assisted villages.</w:t>
      </w:r>
    </w:p>
    <w:p>
      <w:pPr>
        <w:spacing w:after="0" w:line="240" w:lineRule="auto"/>
        <w:rPr>
          <w:rFonts w:ascii="Times New Roman" w:hAnsi="Times New Roman" w:eastAsia="Times New Roman" w:cs="Times New Roman"/>
          <w:sz w:val="24"/>
          <w:szCs w:val="24"/>
        </w:rPr>
      </w:pPr>
    </w:p>
    <w:p>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Keywords</w:t>
      </w:r>
      <w:r>
        <w:rPr>
          <w:rFonts w:ascii="Times New Roman" w:hAnsi="Times New Roman" w:eastAsia="Times New Roman" w:cs="Times New Roman"/>
          <w:color w:val="000000"/>
          <w:sz w:val="20"/>
          <w:szCs w:val="20"/>
        </w:rPr>
        <w:t>: soy bob; soy milk</w:t>
      </w:r>
    </w:p>
    <w:p>
      <w:pPr>
        <w:spacing w:after="0" w:line="240" w:lineRule="auto"/>
        <w:rPr>
          <w:rFonts w:ascii="Times New Roman" w:hAnsi="Times New Roman" w:eastAsia="Times New Roman" w:cs="Times New Roman"/>
          <w:sz w:val="24"/>
          <w:szCs w:val="24"/>
        </w:rPr>
        <w:sectPr>
          <w:headerReference r:id="rId6" w:type="first"/>
          <w:footerReference r:id="rId8" w:type="first"/>
          <w:headerReference r:id="rId5" w:type="default"/>
          <w:footerReference r:id="rId7" w:type="default"/>
          <w:pgSz w:w="11906" w:h="16838"/>
          <w:pgMar w:top="1701" w:right="1134" w:bottom="1134" w:left="1418" w:header="964" w:footer="1009" w:gutter="0"/>
          <w:pgNumType w:start="1"/>
          <w:cols w:space="720" w:num="1"/>
          <w:titlePg/>
          <w:docGrid w:linePitch="299" w:charSpace="0"/>
        </w:sectPr>
      </w:pPr>
      <w:r>
        <w:rPr>
          <w:rFonts w:ascii="Times New Roman" w:hAnsi="Times New Roman" w:eastAsia="Times New Roman" w:cs="Times New Roman"/>
          <w:sz w:val="24"/>
          <w:szCs w:val="24"/>
        </w:rPr>
        <w:br w:type="textWrapping"/>
      </w:r>
    </w:p>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color w:val="000000"/>
          <w:sz w:val="24"/>
          <w:szCs w:val="24"/>
        </w:rPr>
        <w:t>Introduction</w:t>
      </w:r>
    </w:p>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color w:val="000000"/>
          <w:sz w:val="24"/>
          <w:szCs w:val="24"/>
        </w:rPr>
        <w:t>(</w:t>
      </w:r>
      <w:r>
        <w:rPr>
          <w:rFonts w:ascii="Times New Roman" w:hAnsi="Times New Roman" w:eastAsia="Times New Roman" w:cs="Times New Roman"/>
          <w:b/>
          <w:i/>
          <w:color w:val="000000"/>
          <w:sz w:val="24"/>
          <w:szCs w:val="24"/>
        </w:rPr>
        <w:t>Pendahuluan)</w:t>
      </w:r>
    </w:p>
    <w:p>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The Durenan Indah Tourism Awareness Group (Pokdarwis) as one of the partners fostered by the Community Service Department of Radiodiagnostic Engineering and Radiotherapy starting in 2020, has developed Small Business of Soy Bob as an active UKM that produces soy milk, which has been regularly producing soy milk products for the last 5 years and already has community customers in the Tembalang area and around Semarang. At certain events, especially local product development, Soy Bob soy milk has also become local wisdom's mainstay product as a refreshing drink and also a typical commodity to support healthy tourism. Likewise, in the pandemic era where people need to maintain their immune system, Soy Bob soy milk has also become the public's choice of consumption to maintain their immunity and health. Therefore, to develop this healthy living movement, it is necessary to develop soy bob soy milk products both from administrative, hygienic, food technology and product certification aspects so that they are worthy of becoming healthy product commodities that can be consumed by local and global communities as they develop. With the innovation of various flavors and toppings, this Soy Bob product is different from the soy milk that is usually circulated and is known by the public and internationally. On the other hand, all works do not have patents or Small Business Groups (UKM) with their unique characteristics, as well as packaging management and marketing efforts. Likewise, this Soy Milk culinary UKM is managed traditionally, whether the packaging or does not have an AKG value, has expired, as well as marketing efforts. Therefore, through this community service, it is hoped that it can strengthen the quality of healthy products in the Mangunharjo Tembalang area.</w:t>
      </w:r>
    </w:p>
    <w:p>
      <w:pPr>
        <w:spacing w:after="0" w:line="240" w:lineRule="auto"/>
        <w:ind w:firstLine="567"/>
        <w:jc w:val="both"/>
        <w:rPr>
          <w:rFonts w:ascii="Times New Roman" w:hAnsi="Times New Roman" w:eastAsia="Times New Roman" w:cs="Times New Roman"/>
          <w:sz w:val="24"/>
          <w:szCs w:val="24"/>
        </w:rPr>
      </w:pPr>
      <w:r>
        <w:rPr>
          <w:rFonts w:ascii="Times New Roman" w:hAnsi="Times New Roman" w:cs="Times New Roman"/>
          <w:sz w:val="24"/>
          <w:szCs w:val="24"/>
        </w:rPr>
        <w:t>Generally, people use soybeans as a source of nutrition and protein, because they are cheap and easy to obtain. Soy milk is an effort to improve nutrition, because it contains animal and vegetable protein [1]. According to other studies, soybeans provide health benefits, reducing cardiovascular disease, reducing menopausal symptoms, reducing weight, arthritis and brain function.[8] Soy contains phytochemicals including isoflavones, saponins, and phy-tosterol to improve health, soy milk is an ideal cholesterol-free supplement for cardiovascular [2]. Fermented soy milk is good as an anti-ACE, anti-oxidative. The health benefits in soy are attributed to isoflavonoids which can support chemoprevention of diseased cells and also contain the main phenolic phytochemicals found in milk [7].</w:t>
      </w:r>
    </w:p>
    <w:p>
      <w:pPr>
        <w:pStyle w:val="11"/>
        <w:ind w:firstLine="360"/>
        <w:jc w:val="both"/>
      </w:pPr>
      <w:r>
        <w:t>The objectives of this Community Service Activity are:</w:t>
      </w:r>
    </w:p>
    <w:p>
      <w:pPr>
        <w:pStyle w:val="11"/>
        <w:ind w:firstLine="360"/>
        <w:jc w:val="both"/>
      </w:pPr>
      <w:r>
        <w:t>Providing assistance to Healthy Soy Bob Soy Milk UKMs in Pokdarwis Durenan Indah for hygienic and attractive packaging management.</w:t>
      </w:r>
    </w:p>
    <w:p>
      <w:pPr>
        <w:pStyle w:val="11"/>
        <w:ind w:firstLine="360"/>
        <w:jc w:val="both"/>
      </w:pPr>
      <w:r>
        <w:t>Provide assistance to Healthy Soy Bob Soy Milk UKMs in Pokdarwis Durenan Indah to obtain knowledge and business permits, including: NIB, P-IRT, and Halal.</w:t>
      </w:r>
    </w:p>
    <w:p>
      <w:pPr>
        <w:pStyle w:val="11"/>
        <w:ind w:firstLine="360"/>
        <w:jc w:val="both"/>
      </w:pPr>
      <w:r>
        <w:t>Motivate the community to be more creative and innovative in marketing Soy Bob Soy Milk both offline and online to improve consumer health (local elderly in particular) and the production of UKM Pokdarwis Durenan Indah.</w:t>
      </w:r>
    </w:p>
    <w:p>
      <w:pPr>
        <w:pStyle w:val="11"/>
        <w:ind w:firstLine="360"/>
        <w:jc w:val="both"/>
      </w:pPr>
      <w:r>
        <w:t>Developing lecturers' abilities so that they continue to increase their creativity so that it can be realized in the development of knowledge and as one of the implementations of the Tri Dharma of Higher Education</w:t>
      </w:r>
      <w:r>
        <w:rPr>
          <w:lang w:val="id-ID"/>
        </w:rPr>
        <w:t>.</w:t>
      </w:r>
    </w:p>
    <w:p>
      <w:pPr>
        <w:spacing w:after="0" w:line="240" w:lineRule="auto"/>
        <w:rPr>
          <w:rFonts w:ascii="Times New Roman" w:hAnsi="Times New Roman" w:eastAsia="Times New Roman" w:cs="Times New Roman"/>
          <w:sz w:val="24"/>
          <w:szCs w:val="24"/>
        </w:rPr>
      </w:pPr>
    </w:p>
    <w:p>
      <w:pPr>
        <w:spacing w:after="0" w:line="240" w:lineRule="auto"/>
        <w:rPr>
          <w:rFonts w:ascii="Times New Roman" w:hAnsi="Times New Roman" w:eastAsia="Times New Roman" w:cs="Times New Roman"/>
          <w:b/>
          <w:color w:val="000000"/>
          <w:sz w:val="24"/>
          <w:szCs w:val="24"/>
        </w:rPr>
      </w:pPr>
    </w:p>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color w:val="000000"/>
          <w:sz w:val="24"/>
          <w:szCs w:val="24"/>
        </w:rPr>
        <w:t>Methods</w:t>
      </w:r>
    </w:p>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color w:val="000000"/>
          <w:sz w:val="24"/>
          <w:szCs w:val="24"/>
        </w:rPr>
        <w:t>(</w:t>
      </w:r>
      <w:r>
        <w:rPr>
          <w:rFonts w:ascii="Times New Roman" w:hAnsi="Times New Roman" w:eastAsia="Times New Roman" w:cs="Times New Roman"/>
          <w:b/>
          <w:i/>
          <w:color w:val="000000"/>
          <w:sz w:val="24"/>
          <w:szCs w:val="24"/>
        </w:rPr>
        <w:t>Metode Penelitian)</w:t>
      </w:r>
    </w:p>
    <w:p>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The population for this activity were residents of RW V, Mangunharjo Tembalang Village. The method used in this activity was a training approach, followed by program implementation by assisting certification and licensing. Each time stage an evaluation had been carried out to obtain feedback and further improvement efforts.</w:t>
      </w:r>
    </w:p>
    <w:p>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Evaluation was carried out through monitoring each activity through (1) Evaluation of the results of Training Implementation; (2) Evaluation of the provision of healthy tourism assisted village facilities in accordance with health standards; (3) Assessment of success indicators: seen from cadres in implementing health and safety aspects; (4) Evaluation of visitor attendance in the Soy Bob Soy Milk program as a healthy drink.</w:t>
      </w:r>
    </w:p>
    <w:p>
      <w:pPr>
        <w:spacing w:after="0" w:line="240" w:lineRule="auto"/>
        <w:rPr>
          <w:rFonts w:ascii="Times New Roman" w:hAnsi="Times New Roman" w:eastAsia="Times New Roman" w:cs="Times New Roman"/>
          <w:sz w:val="24"/>
          <w:szCs w:val="24"/>
        </w:rPr>
      </w:pPr>
    </w:p>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color w:val="000000"/>
          <w:sz w:val="24"/>
          <w:szCs w:val="24"/>
        </w:rPr>
        <w:t>Results and Discussion</w:t>
      </w:r>
    </w:p>
    <w:p>
      <w:pPr>
        <w:spacing w:after="0" w:line="240" w:lineRule="auto"/>
        <w:rPr>
          <w:rFonts w:ascii="Times New Roman" w:hAnsi="Times New Roman" w:eastAsia="Times New Roman" w:cs="Times New Roman"/>
          <w:b/>
          <w:i/>
          <w:color w:val="000000"/>
          <w:sz w:val="24"/>
          <w:szCs w:val="24"/>
        </w:rPr>
      </w:pPr>
      <w:r>
        <w:rPr>
          <w:rFonts w:ascii="Times New Roman" w:hAnsi="Times New Roman" w:eastAsia="Times New Roman" w:cs="Times New Roman"/>
          <w:b/>
          <w:color w:val="000000"/>
          <w:sz w:val="24"/>
          <w:szCs w:val="24"/>
        </w:rPr>
        <w:t>(</w:t>
      </w:r>
      <w:r>
        <w:rPr>
          <w:rFonts w:ascii="Times New Roman" w:hAnsi="Times New Roman" w:eastAsia="Times New Roman" w:cs="Times New Roman"/>
          <w:b/>
          <w:i/>
          <w:color w:val="000000"/>
          <w:sz w:val="24"/>
          <w:szCs w:val="24"/>
        </w:rPr>
        <w:t>Hasil dan Pembahasan)</w:t>
      </w:r>
    </w:p>
    <w:p>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1)Preparation</w:t>
      </w:r>
    </w:p>
    <w:p>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Arrangement of permits for the Empowerment of Healthy Food Production of "Soy Bob" Soy Milk for Small Business Groups in Mangunharjo Village, Meteseh, Tembalang District on 4 - 18 May 2023</w:t>
      </w:r>
    </w:p>
    <w:p>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Location survey activities, data collection and potential for UKM/UMKM in the Healthy Tourism Village fostered area, especially soy milk products on May 19 - June 3 2023. Determination of activity locations and implementation times for UKM/UMKM activities in the Healthy Tourism Village assisted area in Meteseh, Tembalang sub-district from June to with August.</w:t>
      </w:r>
    </w:p>
    <w:p>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Technical coordination with local officials on May 19 – June 3 2022. Technical coordination with representatives of assisted village administrators to determine the implementation time, location of activities and equipment needed starting June 4.</w:t>
      </w:r>
    </w:p>
    <w:p>
      <w:pPr>
        <w:spacing w:after="0" w:line="240" w:lineRule="auto"/>
        <w:ind w:firstLine="709"/>
        <w:jc w:val="both"/>
        <w:rPr>
          <w:rFonts w:ascii="Times New Roman" w:hAnsi="Times New Roman" w:cs="Times New Roman"/>
          <w:sz w:val="24"/>
          <w:szCs w:val="24"/>
        </w:rPr>
      </w:pPr>
    </w:p>
    <w:p>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 Implementation</w:t>
      </w:r>
    </w:p>
    <w:p>
      <w:pPr>
        <w:spacing w:after="0" w:line="240" w:lineRule="auto"/>
        <w:jc w:val="both"/>
        <w:rPr>
          <w:rFonts w:ascii="Times New Roman" w:hAnsi="Times New Roman" w:eastAsia="Times New Roman" w:cs="Times New Roman"/>
          <w:color w:val="000000"/>
          <w:sz w:val="24"/>
          <w:szCs w:val="24"/>
        </w:rPr>
      </w:pPr>
      <w:r>
        <w:rPr>
          <w:rFonts w:ascii="Times New Roman" w:hAnsi="Times New Roman" w:cs="Times New Roman"/>
          <w:color w:val="000000"/>
          <w:sz w:val="24"/>
          <w:szCs w:val="24"/>
        </w:rPr>
        <w:t>Healthy Culinary Training for Soy Milk UMKM Pokdarwis Durenan Indah Mangunharjo includes: Processing Soy Milk, Determining expiration dates, Frozen Product Training, Packaging Training.</w:t>
      </w:r>
    </w:p>
    <w:p>
      <w:pPr>
        <w:spacing w:after="0" w:line="240" w:lineRule="auto"/>
        <w:jc w:val="center"/>
        <w:rPr>
          <w:rFonts w:ascii="Times New Roman" w:hAnsi="Times New Roman" w:cs="Times New Roman"/>
          <w:color w:val="000000"/>
          <w:sz w:val="24"/>
          <w:szCs w:val="24"/>
        </w:rPr>
      </w:pPr>
    </w:p>
    <w:p>
      <w:pPr>
        <w:spacing w:after="0" w:line="240" w:lineRule="auto"/>
        <w:jc w:val="center"/>
        <w:rPr>
          <w:rFonts w:ascii="Times New Roman" w:hAnsi="Times New Roman" w:cs="Times New Roman"/>
          <w:color w:val="000000"/>
          <w:sz w:val="24"/>
          <w:szCs w:val="24"/>
        </w:rPr>
      </w:pPr>
      <w:r>
        <w:rPr>
          <w:rFonts w:ascii="Times New Roman" w:hAnsi="Times New Roman" w:cs="Times New Roman"/>
          <w:sz w:val="24"/>
          <w:szCs w:val="24"/>
        </w:rPr>
        <w:drawing>
          <wp:inline distT="0" distB="0" distL="0" distR="0">
            <wp:extent cx="1951355" cy="1250315"/>
            <wp:effectExtent l="0" t="0" r="0" b="6985"/>
            <wp:docPr id="10372703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270336"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65164" cy="1259559"/>
                    </a:xfrm>
                    <a:prstGeom prst="rect">
                      <a:avLst/>
                    </a:prstGeom>
                    <a:noFill/>
                  </pic:spPr>
                </pic:pic>
              </a:graphicData>
            </a:graphic>
          </wp:inline>
        </w:drawing>
      </w:r>
    </w:p>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Figure 1. Packaging: affixing the sticker/brand and expiration date to the bottles</w:t>
      </w:r>
    </w:p>
    <w:p>
      <w:pPr>
        <w:spacing w:after="0" w:line="240" w:lineRule="auto"/>
        <w:jc w:val="both"/>
        <w:rPr>
          <w:rFonts w:ascii="Times New Roman" w:hAnsi="Times New Roman" w:cs="Times New Roman"/>
          <w:sz w:val="24"/>
          <w:szCs w:val="24"/>
        </w:rPr>
      </w:pPr>
    </w:p>
    <w:p>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Assistance with NIB administration registration and Explanation of PIRT Certificates and Halal Certificates</w:t>
      </w:r>
      <w:r>
        <w:rPr>
          <w:rFonts w:ascii="Times New Roman" w:hAnsi="Times New Roman" w:cs="Times New Roman"/>
          <w:sz w:val="24"/>
          <w:szCs w:val="24"/>
        </w:rPr>
        <w:t>.</w:t>
      </w:r>
    </w:p>
    <w:p>
      <w:pPr>
        <w:spacing w:after="0" w:line="240" w:lineRule="auto"/>
        <w:jc w:val="center"/>
        <w:rPr>
          <w:rFonts w:ascii="Times New Roman" w:hAnsi="Times New Roman" w:cs="Times New Roman"/>
          <w:color w:val="000000"/>
          <w:sz w:val="24"/>
          <w:szCs w:val="24"/>
        </w:rPr>
      </w:pPr>
      <w:r>
        <w:rPr>
          <w:rFonts w:ascii="Times New Roman" w:hAnsi="Times New Roman" w:cs="Times New Roman"/>
          <w:sz w:val="24"/>
          <w:szCs w:val="24"/>
        </w:rPr>
        <w:drawing>
          <wp:inline distT="0" distB="0" distL="0" distR="0">
            <wp:extent cx="1123950" cy="1499235"/>
            <wp:effectExtent l="0" t="0" r="0" b="571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135910" cy="1514716"/>
                    </a:xfrm>
                    <a:prstGeom prst="rect">
                      <a:avLst/>
                    </a:prstGeom>
                    <a:noFill/>
                    <a:ln>
                      <a:noFill/>
                    </a:ln>
                  </pic:spPr>
                </pic:pic>
              </a:graphicData>
            </a:graphic>
          </wp:inline>
        </w:drawing>
      </w:r>
      <w:r>
        <w:rPr>
          <w:rFonts w:ascii="Times New Roman" w:hAnsi="Times New Roman" w:cs="Times New Roman"/>
          <w:sz w:val="24"/>
          <w:szCs w:val="24"/>
        </w:rPr>
        <w:drawing>
          <wp:inline distT="0" distB="0" distL="0" distR="0">
            <wp:extent cx="1184910" cy="1504315"/>
            <wp:effectExtent l="0" t="0" r="0" b="63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230686" cy="1562869"/>
                    </a:xfrm>
                    <a:prstGeom prst="rect">
                      <a:avLst/>
                    </a:prstGeom>
                    <a:noFill/>
                    <a:ln>
                      <a:noFill/>
                    </a:ln>
                  </pic:spPr>
                </pic:pic>
              </a:graphicData>
            </a:graphic>
          </wp:inline>
        </w:drawing>
      </w:r>
    </w:p>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Figure 2. Online administration registration</w:t>
      </w:r>
    </w:p>
    <w:p>
      <w:pPr>
        <w:spacing w:after="0" w:line="240" w:lineRule="auto"/>
        <w:jc w:val="center"/>
        <w:rPr>
          <w:rFonts w:ascii="Times New Roman" w:hAnsi="Times New Roman" w:cs="Times New Roman"/>
          <w:color w:val="000000"/>
          <w:sz w:val="24"/>
          <w:szCs w:val="24"/>
        </w:rPr>
      </w:pPr>
    </w:p>
    <w:p>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Assistance with the implementation of promotion and marketing of Soy Bob soy milk products</w:t>
      </w:r>
    </w:p>
    <w:p>
      <w:pPr>
        <w:spacing w:after="0" w:line="240" w:lineRule="auto"/>
        <w:jc w:val="center"/>
        <w:rPr>
          <w:rFonts w:ascii="Times New Roman" w:hAnsi="Times New Roman" w:cs="Times New Roman"/>
          <w:color w:val="000000"/>
          <w:sz w:val="24"/>
          <w:szCs w:val="24"/>
        </w:rPr>
      </w:pPr>
      <w:r>
        <w:rPr>
          <w:rFonts w:ascii="Times New Roman" w:hAnsi="Times New Roman" w:cs="Times New Roman"/>
          <w:sz w:val="24"/>
          <w:szCs w:val="24"/>
        </w:rPr>
        <w:drawing>
          <wp:inline distT="0" distB="0" distL="0" distR="0">
            <wp:extent cx="2084705" cy="12446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28318" cy="1271051"/>
                    </a:xfrm>
                    <a:prstGeom prst="rect">
                      <a:avLst/>
                    </a:prstGeom>
                    <a:noFill/>
                  </pic:spPr>
                </pic:pic>
              </a:graphicData>
            </a:graphic>
          </wp:inline>
        </w:drawing>
      </w:r>
    </w:p>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Figure 3. Product promotion and marketing training</w:t>
      </w:r>
    </w:p>
    <w:p>
      <w:pPr>
        <w:spacing w:after="0" w:line="240" w:lineRule="auto"/>
        <w:ind w:firstLine="709"/>
        <w:jc w:val="both"/>
        <w:rPr>
          <w:rFonts w:ascii="Times New Roman" w:hAnsi="Times New Roman" w:cs="Times New Roman"/>
          <w:color w:val="000000"/>
          <w:sz w:val="24"/>
          <w:szCs w:val="24"/>
        </w:rPr>
      </w:pPr>
    </w:p>
    <w:p>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Food Expo for Soy Bob soy milk products together with other healthy food UMKM which were busy with the people of Mangunharjo Subdistrict and coincided with the Republic of Indonesia's Independence Day celebrations.</w:t>
      </w:r>
    </w:p>
    <w:p>
      <w:pPr>
        <w:pStyle w:val="26"/>
        <w:ind w:left="1134" w:hanging="1134"/>
        <w:jc w:val="center"/>
        <w:rPr>
          <w:color w:val="000000"/>
          <w:sz w:val="24"/>
          <w:szCs w:val="24"/>
        </w:rPr>
      </w:pPr>
      <w:r>
        <w:rPr>
          <w:sz w:val="24"/>
          <w:szCs w:val="24"/>
        </w:rPr>
        <w:drawing>
          <wp:inline distT="0" distB="0" distL="0" distR="0">
            <wp:extent cx="2390140" cy="1502410"/>
            <wp:effectExtent l="0" t="0" r="0" b="2540"/>
            <wp:docPr id="1450271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7152"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33352" cy="1529770"/>
                    </a:xfrm>
                    <a:prstGeom prst="rect">
                      <a:avLst/>
                    </a:prstGeom>
                    <a:noFill/>
                  </pic:spPr>
                </pic:pic>
              </a:graphicData>
            </a:graphic>
          </wp:inline>
        </w:drawing>
      </w:r>
    </w:p>
    <w:p>
      <w:pPr>
        <w:pStyle w:val="26"/>
        <w:ind w:left="1134" w:hanging="1134"/>
        <w:jc w:val="center"/>
        <w:rPr>
          <w:color w:val="000000"/>
          <w:sz w:val="24"/>
          <w:szCs w:val="24"/>
          <w:lang w:val="en-US"/>
        </w:rPr>
      </w:pPr>
      <w:r>
        <w:rPr>
          <w:color w:val="000000"/>
          <w:sz w:val="24"/>
          <w:szCs w:val="24"/>
          <w:lang w:val="en-US"/>
        </w:rPr>
        <w:t>Figure 4. Opening of the expo event</w:t>
      </w:r>
    </w:p>
    <w:p>
      <w:pPr>
        <w:pStyle w:val="26"/>
        <w:ind w:left="1134" w:hanging="1134"/>
        <w:jc w:val="center"/>
        <w:rPr>
          <w:color w:val="000000"/>
          <w:sz w:val="24"/>
          <w:szCs w:val="24"/>
        </w:rPr>
      </w:pPr>
    </w:p>
    <w:p>
      <w:pPr>
        <w:pStyle w:val="26"/>
        <w:ind w:left="1134" w:hanging="1134"/>
        <w:jc w:val="center"/>
        <w:rPr>
          <w:color w:val="000000"/>
          <w:sz w:val="24"/>
          <w:szCs w:val="24"/>
          <w:lang w:val="en-US"/>
        </w:rPr>
      </w:pPr>
      <w:r>
        <w:rPr>
          <w:sz w:val="24"/>
          <w:szCs w:val="24"/>
        </w:rPr>
        <w:drawing>
          <wp:inline distT="0" distB="0" distL="0" distR="0">
            <wp:extent cx="2479040" cy="1866265"/>
            <wp:effectExtent l="0" t="0" r="0" b="635"/>
            <wp:docPr id="1539344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44399" name="Picture 1"/>
                    <pic:cNvPicPr>
                      <a:picLocks noChangeAspect="1"/>
                    </pic:cNvPicPr>
                  </pic:nvPicPr>
                  <pic:blipFill>
                    <a:blip r:embed="rId16"/>
                    <a:stretch>
                      <a:fillRect/>
                    </a:stretch>
                  </pic:blipFill>
                  <pic:spPr>
                    <a:xfrm>
                      <a:off x="0" y="0"/>
                      <a:ext cx="2499826" cy="1882206"/>
                    </a:xfrm>
                    <a:prstGeom prst="rect">
                      <a:avLst/>
                    </a:prstGeom>
                  </pic:spPr>
                </pic:pic>
              </a:graphicData>
            </a:graphic>
          </wp:inline>
        </w:drawing>
      </w:r>
    </w:p>
    <w:p>
      <w:pPr>
        <w:pStyle w:val="26"/>
        <w:ind w:left="0"/>
        <w:jc w:val="center"/>
        <w:rPr>
          <w:color w:val="000000"/>
          <w:sz w:val="24"/>
          <w:szCs w:val="24"/>
          <w:lang w:val="en-US"/>
        </w:rPr>
      </w:pPr>
      <w:r>
        <w:rPr>
          <w:color w:val="000000"/>
          <w:sz w:val="24"/>
          <w:szCs w:val="24"/>
          <w:lang w:val="en-US"/>
        </w:rPr>
        <w:t>Figure 5. Preparation for sales of healthy food and beverage products</w:t>
      </w:r>
    </w:p>
    <w:p>
      <w:pPr>
        <w:pStyle w:val="26"/>
        <w:ind w:left="0"/>
        <w:jc w:val="center"/>
        <w:rPr>
          <w:color w:val="000000"/>
          <w:sz w:val="24"/>
          <w:szCs w:val="24"/>
          <w:lang w:val="en-US"/>
        </w:rPr>
      </w:pPr>
      <w:r>
        <w:rPr>
          <w:color w:val="000000"/>
          <w:sz w:val="24"/>
          <w:szCs w:val="24"/>
          <w:lang w:val="en-US"/>
        </w:rPr>
        <w:drawing>
          <wp:inline distT="0" distB="0" distL="0" distR="0">
            <wp:extent cx="1739265" cy="1304290"/>
            <wp:effectExtent l="0" t="0" r="0" b="0"/>
            <wp:docPr id="506197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197267"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747122" cy="1310342"/>
                    </a:xfrm>
                    <a:prstGeom prst="rect">
                      <a:avLst/>
                    </a:prstGeom>
                    <a:noFill/>
                  </pic:spPr>
                </pic:pic>
              </a:graphicData>
            </a:graphic>
          </wp:inline>
        </w:drawing>
      </w:r>
    </w:p>
    <w:p>
      <w:pPr>
        <w:pStyle w:val="26"/>
        <w:ind w:left="0"/>
        <w:jc w:val="center"/>
        <w:rPr>
          <w:color w:val="000000"/>
          <w:sz w:val="24"/>
          <w:szCs w:val="24"/>
          <w:lang w:val="en-US"/>
        </w:rPr>
      </w:pPr>
      <w:r>
        <w:rPr>
          <w:color w:val="000000"/>
          <w:sz w:val="24"/>
          <w:szCs w:val="24"/>
          <w:lang w:val="en-US"/>
        </w:rPr>
        <w:t>Figure 6. Soy Bob soy milk community service stand</w:t>
      </w:r>
    </w:p>
    <w:p>
      <w:pPr>
        <w:pStyle w:val="26"/>
        <w:ind w:left="0"/>
        <w:jc w:val="center"/>
        <w:rPr>
          <w:color w:val="000000"/>
          <w:sz w:val="24"/>
          <w:szCs w:val="24"/>
          <w:lang w:val="en-US"/>
        </w:rPr>
      </w:pPr>
    </w:p>
    <w:p>
      <w:pPr>
        <w:pStyle w:val="26"/>
        <w:ind w:left="0"/>
        <w:jc w:val="center"/>
        <w:rPr>
          <w:color w:val="000000"/>
          <w:sz w:val="24"/>
          <w:szCs w:val="24"/>
          <w:lang w:val="en-US"/>
        </w:rPr>
      </w:pPr>
      <w:r>
        <w:rPr>
          <w:sz w:val="24"/>
          <w:szCs w:val="24"/>
        </w:rPr>
        <w:drawing>
          <wp:inline distT="0" distB="0" distL="0" distR="0">
            <wp:extent cx="1743075" cy="2324100"/>
            <wp:effectExtent l="0" t="0" r="9525" b="0"/>
            <wp:docPr id="5981566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56621"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744413" cy="2325884"/>
                    </a:xfrm>
                    <a:prstGeom prst="rect">
                      <a:avLst/>
                    </a:prstGeom>
                    <a:noFill/>
                  </pic:spPr>
                </pic:pic>
              </a:graphicData>
            </a:graphic>
          </wp:inline>
        </w:drawing>
      </w:r>
    </w:p>
    <w:p>
      <w:pPr>
        <w:pStyle w:val="26"/>
        <w:ind w:left="0"/>
        <w:jc w:val="center"/>
        <w:rPr>
          <w:color w:val="000000"/>
          <w:sz w:val="24"/>
          <w:szCs w:val="24"/>
          <w:lang w:val="en-US"/>
        </w:rPr>
      </w:pPr>
      <w:r>
        <w:rPr>
          <w:color w:val="000000"/>
          <w:sz w:val="24"/>
          <w:szCs w:val="24"/>
          <w:lang w:val="en-US"/>
        </w:rPr>
        <w:t>Figure 7. Soy Bob Product Marketing</w:t>
      </w:r>
    </w:p>
    <w:p>
      <w:pPr>
        <w:pStyle w:val="26"/>
        <w:ind w:left="1134"/>
        <w:jc w:val="center"/>
        <w:rPr>
          <w:color w:val="000000"/>
          <w:sz w:val="24"/>
          <w:szCs w:val="24"/>
        </w:rPr>
      </w:pPr>
    </w:p>
    <w:p>
      <w:pPr>
        <w:pStyle w:val="26"/>
        <w:ind w:left="0"/>
        <w:jc w:val="center"/>
        <w:rPr>
          <w:color w:val="000000"/>
          <w:sz w:val="24"/>
          <w:szCs w:val="24"/>
        </w:rPr>
      </w:pPr>
      <w:r>
        <w:rPr>
          <w:sz w:val="24"/>
          <w:szCs w:val="24"/>
        </w:rPr>
        <w:drawing>
          <wp:inline distT="0" distB="0" distL="0" distR="0">
            <wp:extent cx="1924685" cy="1979930"/>
            <wp:effectExtent l="0" t="0" r="0" b="1270"/>
            <wp:docPr id="1474336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336899" name="Picture 1"/>
                    <pic:cNvPicPr>
                      <a:picLocks noChangeAspect="1"/>
                    </pic:cNvPicPr>
                  </pic:nvPicPr>
                  <pic:blipFill>
                    <a:blip r:embed="rId19"/>
                    <a:stretch>
                      <a:fillRect/>
                    </a:stretch>
                  </pic:blipFill>
                  <pic:spPr>
                    <a:xfrm>
                      <a:off x="0" y="0"/>
                      <a:ext cx="1941736" cy="1997541"/>
                    </a:xfrm>
                    <a:prstGeom prst="rect">
                      <a:avLst/>
                    </a:prstGeom>
                  </pic:spPr>
                </pic:pic>
              </a:graphicData>
            </a:graphic>
          </wp:inline>
        </w:drawing>
      </w:r>
    </w:p>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Figure 8. Implementing a healthy lifestyle by walking </w:t>
      </w:r>
    </w:p>
    <w:p>
      <w:pPr>
        <w:spacing w:after="0" w:line="240" w:lineRule="auto"/>
        <w:jc w:val="center"/>
        <w:rPr>
          <w:rFonts w:ascii="Times New Roman" w:hAnsi="Times New Roman" w:cs="Times New Roman"/>
          <w:sz w:val="24"/>
          <w:szCs w:val="24"/>
        </w:rPr>
      </w:pPr>
      <w:bookmarkStart w:id="0" w:name="_Hlk122416192"/>
    </w:p>
    <w:bookmarkEnd w:id="0"/>
    <w:p>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sz w:val="24"/>
          <w:szCs w:val="24"/>
        </w:rPr>
        <w:t>Counseling about the importance of soy milk to the Mangunharjo Village Community and health checks.</w:t>
      </w:r>
    </w:p>
    <w:p>
      <w:pPr>
        <w:spacing w:after="0" w:line="240" w:lineRule="auto"/>
        <w:jc w:val="center"/>
        <w:rPr>
          <w:rFonts w:ascii="Times New Roman" w:hAnsi="Times New Roman" w:cs="Times New Roman"/>
          <w:color w:val="000000"/>
          <w:sz w:val="24"/>
          <w:szCs w:val="24"/>
        </w:rPr>
      </w:pPr>
      <w:r>
        <w:rPr>
          <w:rFonts w:ascii="Times New Roman" w:hAnsi="Times New Roman" w:cs="Times New Roman"/>
          <w:sz w:val="24"/>
          <w:szCs w:val="24"/>
        </w:rPr>
        <w:drawing>
          <wp:inline distT="0" distB="0" distL="0" distR="0">
            <wp:extent cx="1889125" cy="1682115"/>
            <wp:effectExtent l="0" t="0" r="0" b="0"/>
            <wp:docPr id="1761450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450068" name="Picture 1"/>
                    <pic:cNvPicPr>
                      <a:picLocks noChangeAspect="1"/>
                    </pic:cNvPicPr>
                  </pic:nvPicPr>
                  <pic:blipFill>
                    <a:blip r:embed="rId20"/>
                    <a:stretch>
                      <a:fillRect/>
                    </a:stretch>
                  </pic:blipFill>
                  <pic:spPr>
                    <a:xfrm>
                      <a:off x="0" y="0"/>
                      <a:ext cx="1909197" cy="1699930"/>
                    </a:xfrm>
                    <a:prstGeom prst="rect">
                      <a:avLst/>
                    </a:prstGeom>
                  </pic:spPr>
                </pic:pic>
              </a:graphicData>
            </a:graphic>
          </wp:inline>
        </w:drawing>
      </w:r>
    </w:p>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9. Resource person from Durenan Indah thematic village by Mr. Pramujiarto, SE.MM.Par</w:t>
      </w:r>
    </w:p>
    <w:p>
      <w:pPr>
        <w:spacing w:after="0" w:line="240" w:lineRule="auto"/>
        <w:jc w:val="center"/>
        <w:rPr>
          <w:rFonts w:ascii="Times New Roman" w:hAnsi="Times New Roman" w:cs="Times New Roman"/>
          <w:sz w:val="24"/>
          <w:szCs w:val="24"/>
        </w:rPr>
      </w:pPr>
    </w:p>
    <w:p>
      <w:pPr>
        <w:spacing w:after="0" w:line="240" w:lineRule="auto"/>
        <w:jc w:val="center"/>
        <w:rPr>
          <w:rFonts w:ascii="Times New Roman" w:hAnsi="Times New Roman" w:cs="Times New Roman"/>
          <w:color w:val="000000"/>
          <w:sz w:val="24"/>
          <w:szCs w:val="24"/>
        </w:rPr>
      </w:pPr>
      <w:r>
        <w:rPr>
          <w:rFonts w:ascii="Times New Roman" w:hAnsi="Times New Roman" w:cs="Times New Roman"/>
          <w:sz w:val="24"/>
          <w:szCs w:val="24"/>
        </w:rPr>
        <w:drawing>
          <wp:inline distT="0" distB="0" distL="0" distR="0">
            <wp:extent cx="1967230" cy="1590675"/>
            <wp:effectExtent l="0" t="0" r="0" b="9525"/>
            <wp:docPr id="876102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102680" name="Picture 1"/>
                    <pic:cNvPicPr>
                      <a:picLocks noChangeAspect="1"/>
                    </pic:cNvPicPr>
                  </pic:nvPicPr>
                  <pic:blipFill>
                    <a:blip r:embed="rId21"/>
                    <a:stretch>
                      <a:fillRect/>
                    </a:stretch>
                  </pic:blipFill>
                  <pic:spPr>
                    <a:xfrm>
                      <a:off x="0" y="0"/>
                      <a:ext cx="1986057" cy="1605955"/>
                    </a:xfrm>
                    <a:prstGeom prst="rect">
                      <a:avLst/>
                    </a:prstGeom>
                  </pic:spPr>
                </pic:pic>
              </a:graphicData>
            </a:graphic>
          </wp:inline>
        </w:drawing>
      </w:r>
    </w:p>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Figure 10. Education about the importance of soy milk for health</w:t>
      </w:r>
    </w:p>
    <w:p>
      <w:pPr>
        <w:spacing w:after="0" w:line="240" w:lineRule="auto"/>
        <w:jc w:val="center"/>
        <w:rPr>
          <w:rFonts w:ascii="Times New Roman" w:hAnsi="Times New Roman" w:cs="Times New Roman"/>
          <w:color w:val="000000"/>
          <w:sz w:val="24"/>
          <w:szCs w:val="24"/>
        </w:rPr>
      </w:pPr>
    </w:p>
    <w:p>
      <w:pPr>
        <w:spacing w:after="0" w:line="240" w:lineRule="auto"/>
        <w:jc w:val="center"/>
        <w:rPr>
          <w:rFonts w:ascii="Times New Roman" w:hAnsi="Times New Roman" w:cs="Times New Roman"/>
          <w:color w:val="000000"/>
          <w:sz w:val="24"/>
          <w:szCs w:val="24"/>
        </w:rPr>
      </w:pPr>
      <w:r>
        <w:rPr>
          <w:rFonts w:ascii="Times New Roman" w:hAnsi="Times New Roman" w:cs="Times New Roman"/>
          <w:sz w:val="24"/>
          <w:szCs w:val="24"/>
        </w:rPr>
        <w:drawing>
          <wp:inline distT="0" distB="0" distL="0" distR="0">
            <wp:extent cx="1880235" cy="1927860"/>
            <wp:effectExtent l="0" t="0" r="5715" b="0"/>
            <wp:docPr id="2005268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68851" name="Picture 1"/>
                    <pic:cNvPicPr>
                      <a:picLocks noChangeAspect="1"/>
                    </pic:cNvPicPr>
                  </pic:nvPicPr>
                  <pic:blipFill>
                    <a:blip r:embed="rId22"/>
                    <a:stretch>
                      <a:fillRect/>
                    </a:stretch>
                  </pic:blipFill>
                  <pic:spPr>
                    <a:xfrm>
                      <a:off x="0" y="0"/>
                      <a:ext cx="1885962" cy="1934192"/>
                    </a:xfrm>
                    <a:prstGeom prst="rect">
                      <a:avLst/>
                    </a:prstGeom>
                  </pic:spPr>
                </pic:pic>
              </a:graphicData>
            </a:graphic>
          </wp:inline>
        </w:drawing>
      </w:r>
    </w:p>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Figure 11. Distribution of Booklets</w:t>
      </w:r>
    </w:p>
    <w:p>
      <w:pPr>
        <w:spacing w:after="0" w:line="240" w:lineRule="auto"/>
        <w:jc w:val="center"/>
        <w:rPr>
          <w:rFonts w:ascii="Times New Roman" w:hAnsi="Times New Roman" w:cs="Times New Roman"/>
          <w:color w:val="000000"/>
          <w:sz w:val="24"/>
          <w:szCs w:val="24"/>
        </w:rPr>
      </w:pPr>
    </w:p>
    <w:p>
      <w:pPr>
        <w:spacing w:after="0" w:line="240" w:lineRule="auto"/>
        <w:jc w:val="center"/>
        <w:rPr>
          <w:rFonts w:ascii="Times New Roman" w:hAnsi="Times New Roman" w:cs="Times New Roman"/>
          <w:color w:val="000000"/>
          <w:sz w:val="24"/>
          <w:szCs w:val="24"/>
        </w:rPr>
      </w:pPr>
    </w:p>
    <w:p>
      <w:pPr>
        <w:spacing w:after="0" w:line="240" w:lineRule="auto"/>
        <w:jc w:val="center"/>
        <w:rPr>
          <w:rFonts w:ascii="Times New Roman" w:hAnsi="Times New Roman" w:cs="Times New Roman"/>
          <w:color w:val="000000"/>
          <w:sz w:val="24"/>
          <w:szCs w:val="24"/>
        </w:rPr>
      </w:pPr>
      <w:r>
        <w:rPr>
          <w:rFonts w:ascii="Times New Roman" w:hAnsi="Times New Roman" w:cs="Times New Roman"/>
          <w:sz w:val="24"/>
          <w:szCs w:val="24"/>
        </w:rPr>
        <w:drawing>
          <wp:inline distT="0" distB="0" distL="0" distR="0">
            <wp:extent cx="1885950" cy="1965325"/>
            <wp:effectExtent l="0" t="0" r="0" b="0"/>
            <wp:docPr id="1167830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830215" name="Picture 1"/>
                    <pic:cNvPicPr>
                      <a:picLocks noChangeAspect="1"/>
                    </pic:cNvPicPr>
                  </pic:nvPicPr>
                  <pic:blipFill>
                    <a:blip r:embed="rId23"/>
                    <a:stretch>
                      <a:fillRect/>
                    </a:stretch>
                  </pic:blipFill>
                  <pic:spPr>
                    <a:xfrm>
                      <a:off x="0" y="0"/>
                      <a:ext cx="1893028" cy="1972977"/>
                    </a:xfrm>
                    <a:prstGeom prst="rect">
                      <a:avLst/>
                    </a:prstGeom>
                  </pic:spPr>
                </pic:pic>
              </a:graphicData>
            </a:graphic>
          </wp:inline>
        </w:drawing>
      </w:r>
    </w:p>
    <w:p>
      <w:pPr>
        <w:pStyle w:val="26"/>
        <w:ind w:left="1134" w:hanging="567"/>
        <w:rPr>
          <w:color w:val="000000"/>
          <w:sz w:val="24"/>
          <w:szCs w:val="24"/>
          <w:lang w:val="en-US"/>
        </w:rPr>
      </w:pPr>
      <w:r>
        <w:rPr>
          <w:color w:val="000000"/>
          <w:sz w:val="24"/>
          <w:szCs w:val="24"/>
          <w:lang w:val="en-US"/>
        </w:rPr>
        <w:t>Figure 12. Free health check</w:t>
      </w:r>
    </w:p>
    <w:p>
      <w:pPr>
        <w:pStyle w:val="26"/>
        <w:ind w:left="1134" w:hanging="567"/>
        <w:rPr>
          <w:color w:val="000000"/>
          <w:sz w:val="24"/>
          <w:szCs w:val="24"/>
          <w:lang w:val="en-US"/>
        </w:rPr>
      </w:pPr>
    </w:p>
    <w:p>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Preparation of the final national service report is prepared at the Ministry of Health's Polytechnic, Semarang, after the entire series of activities have been carried out.</w:t>
      </w:r>
    </w:p>
    <w:p>
      <w:pPr>
        <w:spacing w:after="0" w:line="240" w:lineRule="auto"/>
        <w:ind w:firstLine="567"/>
        <w:jc w:val="both"/>
        <w:rPr>
          <w:rFonts w:ascii="Times New Roman" w:hAnsi="Times New Roman" w:cs="Times New Roman"/>
          <w:color w:val="000000"/>
          <w:sz w:val="24"/>
          <w:szCs w:val="24"/>
        </w:rPr>
      </w:pPr>
    </w:p>
    <w:p>
      <w:pPr>
        <w:spacing w:after="0" w:line="240" w:lineRule="auto"/>
        <w:ind w:firstLine="567"/>
        <w:jc w:val="both"/>
        <w:rPr>
          <w:rFonts w:ascii="Times New Roman" w:hAnsi="Times New Roman" w:cs="Times New Roman"/>
          <w:color w:val="000000"/>
          <w:sz w:val="24"/>
          <w:szCs w:val="24"/>
        </w:rPr>
      </w:pPr>
    </w:p>
    <w:p>
      <w:pPr>
        <w:spacing w:after="0" w:line="240" w:lineRule="auto"/>
        <w:ind w:firstLine="567"/>
        <w:jc w:val="both"/>
        <w:rPr>
          <w:rFonts w:ascii="Times New Roman" w:hAnsi="Times New Roman" w:cs="Times New Roman"/>
          <w:color w:val="000000"/>
          <w:sz w:val="24"/>
          <w:szCs w:val="24"/>
        </w:rPr>
      </w:pPr>
    </w:p>
    <w:p>
      <w:pPr>
        <w:pStyle w:val="15"/>
        <w:spacing w:before="0" w:beforeAutospacing="0" w:after="0" w:afterAutospacing="0"/>
        <w:ind w:firstLine="567"/>
        <w:jc w:val="both"/>
        <w:rPr>
          <w:rFonts w:eastAsia="Calibri"/>
        </w:rPr>
      </w:pPr>
      <w:r>
        <w:rPr>
          <w:rFonts w:eastAsia="Calibri"/>
        </w:rPr>
        <w:t>3) Evaluation</w:t>
      </w:r>
    </w:p>
    <w:p>
      <w:pPr>
        <w:pStyle w:val="15"/>
        <w:spacing w:before="0" w:beforeAutospacing="0" w:after="0" w:afterAutospacing="0"/>
        <w:ind w:firstLine="567"/>
        <w:jc w:val="both"/>
        <w:rPr>
          <w:rFonts w:eastAsia="Calibri"/>
        </w:rPr>
      </w:pPr>
      <w:r>
        <w:rPr>
          <w:rFonts w:eastAsia="Calibri"/>
        </w:rPr>
        <w:t>Evaluation is carried out through monitoring indicators of the success of the Assisted Villages as seen from the achievements or outputs produced by the National Service, including:</w:t>
      </w:r>
    </w:p>
    <w:p>
      <w:pPr>
        <w:pStyle w:val="15"/>
        <w:spacing w:before="0" w:beforeAutospacing="0" w:after="0" w:afterAutospacing="0"/>
        <w:ind w:firstLine="567"/>
        <w:jc w:val="both"/>
        <w:rPr>
          <w:color w:val="000000" w:themeColor="text1"/>
          <w14:textFill>
            <w14:solidFill>
              <w14:schemeClr w14:val="tx1"/>
            </w14:solidFill>
          </w14:textFill>
        </w:rPr>
      </w:pPr>
      <w:r>
        <w:rPr>
          <w:rFonts w:eastAsia="Calibri"/>
        </w:rPr>
        <w:t>Visitors' interest in Soy Bob soy milk and visitors' understanding of health and the importance of consuming soy milk can be seen in the following pre-test and post-test graphs:</w:t>
      </w:r>
    </w:p>
    <w:p>
      <w:pPr>
        <w:pStyle w:val="15"/>
        <w:spacing w:before="0" w:beforeAutospacing="0" w:after="0" w:afterAutospacing="0"/>
        <w:rPr>
          <w:color w:val="000000"/>
        </w:rPr>
      </w:pPr>
      <w:r>
        <w:drawing>
          <wp:inline distT="0" distB="0" distL="0" distR="0">
            <wp:extent cx="2743200" cy="1630045"/>
            <wp:effectExtent l="0" t="0" r="0" b="8255"/>
            <wp:docPr id="9951182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18234"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743200" cy="1630045"/>
                    </a:xfrm>
                    <a:prstGeom prst="rect">
                      <a:avLst/>
                    </a:prstGeom>
                    <a:noFill/>
                    <a:ln>
                      <a:noFill/>
                    </a:ln>
                  </pic:spPr>
                </pic:pic>
              </a:graphicData>
            </a:graphic>
          </wp:inline>
        </w:drawing>
      </w:r>
    </w:p>
    <w:p>
      <w:pPr>
        <w:pStyle w:val="15"/>
        <w:spacing w:before="0" w:beforeAutospacing="0" w:after="0" w:afterAutospacing="0"/>
        <w:jc w:val="center"/>
        <w:rPr>
          <w:color w:val="000000"/>
        </w:rPr>
      </w:pPr>
      <w:r>
        <w:rPr>
          <w:color w:val="000000"/>
        </w:rPr>
        <w:t>Figure 13. Graph of Development of Understanding</w:t>
      </w:r>
    </w:p>
    <w:p>
      <w:pPr>
        <w:pStyle w:val="15"/>
        <w:tabs>
          <w:tab w:val="left" w:pos="567"/>
        </w:tabs>
        <w:spacing w:before="0" w:beforeAutospacing="0" w:after="0" w:afterAutospacing="0"/>
        <w:jc w:val="both"/>
        <w:textAlignment w:val="baseline"/>
        <w:rPr>
          <w:color w:val="000000" w:themeColor="text1"/>
          <w14:textFill>
            <w14:solidFill>
              <w14:schemeClr w14:val="tx1"/>
            </w14:solidFill>
          </w14:textFill>
        </w:rPr>
      </w:pPr>
      <w:r>
        <w:rPr>
          <w:color w:val="000000" w:themeColor="text1"/>
          <w14:textFill>
            <w14:solidFill>
              <w14:schemeClr w14:val="tx1"/>
            </w14:solidFill>
          </w14:textFill>
        </w:rPr>
        <w:tab/>
      </w:r>
    </w:p>
    <w:p>
      <w:pPr>
        <w:pStyle w:val="15"/>
        <w:tabs>
          <w:tab w:val="left" w:pos="426"/>
        </w:tabs>
        <w:spacing w:before="0" w:beforeAutospacing="0" w:after="0" w:afterAutospacing="0"/>
        <w:jc w:val="both"/>
        <w:textAlignment w:val="baseline"/>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t>The NIB has been registered for Soy Bob soy milk belonging to Mr. Hanto, a resident of Mangunharjo sub-district:</w:t>
      </w:r>
    </w:p>
    <w:p>
      <w:pPr>
        <w:pStyle w:val="15"/>
        <w:tabs>
          <w:tab w:val="left" w:pos="426"/>
        </w:tabs>
        <w:spacing w:before="0" w:beforeAutospacing="0" w:after="0" w:afterAutospacing="0"/>
        <w:jc w:val="both"/>
        <w:textAlignment w:val="baseline"/>
        <w:rPr>
          <w:color w:val="000000" w:themeColor="text1"/>
          <w14:textFill>
            <w14:solidFill>
              <w14:schemeClr w14:val="tx1"/>
            </w14:solidFill>
          </w14:textFill>
        </w:rPr>
      </w:pPr>
    </w:p>
    <w:p>
      <w:pPr>
        <w:pStyle w:val="15"/>
        <w:tabs>
          <w:tab w:val="left" w:pos="567"/>
        </w:tabs>
        <w:spacing w:before="0" w:beforeAutospacing="0" w:after="0" w:afterAutospacing="0"/>
        <w:jc w:val="both"/>
        <w:textAlignment w:val="baseline"/>
        <w:rPr>
          <w:color w:val="000000" w:themeColor="text1"/>
          <w14:textFill>
            <w14:solidFill>
              <w14:schemeClr w14:val="tx1"/>
            </w14:solidFill>
          </w14:textFill>
        </w:rPr>
      </w:pPr>
      <w:r>
        <w:drawing>
          <wp:inline distT="0" distB="0" distL="0" distR="0">
            <wp:extent cx="2435860" cy="1369060"/>
            <wp:effectExtent l="0" t="0" r="2540" b="2540"/>
            <wp:docPr id="2147183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83524" name="Picture 1"/>
                    <pic:cNvPicPr>
                      <a:picLocks noChangeAspect="1"/>
                    </pic:cNvPicPr>
                  </pic:nvPicPr>
                  <pic:blipFill>
                    <a:blip r:embed="rId25"/>
                    <a:stretch>
                      <a:fillRect/>
                    </a:stretch>
                  </pic:blipFill>
                  <pic:spPr>
                    <a:xfrm>
                      <a:off x="0" y="0"/>
                      <a:ext cx="2476161" cy="1392189"/>
                    </a:xfrm>
                    <a:prstGeom prst="rect">
                      <a:avLst/>
                    </a:prstGeom>
                  </pic:spPr>
                </pic:pic>
              </a:graphicData>
            </a:graphic>
          </wp:inline>
        </w:drawing>
      </w:r>
    </w:p>
    <w:p>
      <w:pPr>
        <w:pStyle w:val="15"/>
        <w:spacing w:before="0" w:beforeAutospacing="0" w:after="0" w:afterAutospacing="0"/>
        <w:jc w:val="both"/>
        <w:textAlignment w:val="baseline"/>
        <w:rPr>
          <w:color w:val="000000" w:themeColor="text1"/>
          <w14:textFill>
            <w14:solidFill>
              <w14:schemeClr w14:val="tx1"/>
            </w14:solidFill>
          </w14:textFill>
        </w:rPr>
      </w:pPr>
      <w:r>
        <w:rPr>
          <w:color w:val="000000" w:themeColor="text1"/>
          <w14:textFill>
            <w14:solidFill>
              <w14:schemeClr w14:val="tx1"/>
            </w14:solidFill>
          </w14:textFill>
        </w:rPr>
        <w:t>Figure 14. A Small Business Group that already has NIB</w:t>
      </w:r>
      <w:r>
        <w:rPr>
          <w:color w:val="000000" w:themeColor="text1"/>
          <w14:textFill>
            <w14:solidFill>
              <w14:schemeClr w14:val="tx1"/>
            </w14:solidFill>
          </w14:textFill>
        </w:rPr>
        <w:tab/>
      </w:r>
    </w:p>
    <w:p>
      <w:pPr>
        <w:pStyle w:val="15"/>
        <w:spacing w:before="0" w:beforeAutospacing="0" w:after="0" w:afterAutospacing="0"/>
        <w:jc w:val="both"/>
        <w:textAlignment w:val="baseline"/>
        <w:rPr>
          <w:color w:val="000000" w:themeColor="text1"/>
          <w14:textFill>
            <w14:solidFill>
              <w14:schemeClr w14:val="tx1"/>
            </w14:solidFill>
          </w14:textFill>
        </w:rPr>
      </w:pPr>
    </w:p>
    <w:p>
      <w:pPr>
        <w:pStyle w:val="15"/>
        <w:spacing w:before="0" w:beforeAutospacing="0" w:after="0" w:afterAutospacing="0"/>
        <w:ind w:firstLine="284"/>
        <w:jc w:val="both"/>
        <w:textAlignment w:val="baseline"/>
        <w:rPr>
          <w:color w:val="000000" w:themeColor="text1"/>
          <w14:textFill>
            <w14:solidFill>
              <w14:schemeClr w14:val="tx1"/>
            </w14:solidFill>
          </w14:textFill>
        </w:rPr>
      </w:pPr>
      <w:r>
        <w:rPr>
          <w:color w:val="000000" w:themeColor="text1"/>
          <w14:textFill>
            <w14:solidFill>
              <w14:schemeClr w14:val="tx1"/>
            </w14:solidFill>
          </w14:textFill>
        </w:rPr>
        <w:t>There are several guidelines related to licensing and Soy Bob which are very useful for the community as follows:</w:t>
      </w:r>
    </w:p>
    <w:p>
      <w:pPr>
        <w:pStyle w:val="15"/>
        <w:spacing w:before="0" w:beforeAutospacing="0" w:after="0" w:afterAutospacing="0"/>
        <w:ind w:firstLine="284"/>
        <w:jc w:val="both"/>
        <w:textAlignment w:val="baseline"/>
        <w:rPr>
          <w:color w:val="000000" w:themeColor="text1"/>
          <w14:textFill>
            <w14:solidFill>
              <w14:schemeClr w14:val="tx1"/>
            </w14:solidFill>
          </w14:textFill>
        </w:rPr>
      </w:pPr>
    </w:p>
    <w:p>
      <w:pPr>
        <w:pStyle w:val="15"/>
        <w:tabs>
          <w:tab w:val="left" w:pos="993"/>
        </w:tabs>
        <w:spacing w:before="0" w:beforeAutospacing="0" w:after="0" w:afterAutospacing="0"/>
        <w:ind w:left="284" w:hanging="284"/>
        <w:jc w:val="both"/>
        <w:textAlignment w:val="baseline"/>
        <w:rPr>
          <w:color w:val="000000" w:themeColor="text1"/>
          <w14:textFill>
            <w14:solidFill>
              <w14:schemeClr w14:val="tx1"/>
            </w14:solidFill>
          </w14:textFill>
        </w:rPr>
      </w:pPr>
      <w:r>
        <w:drawing>
          <wp:inline distT="0" distB="0" distL="0" distR="0">
            <wp:extent cx="2247265" cy="1734820"/>
            <wp:effectExtent l="0" t="0" r="63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268519" cy="1751540"/>
                    </a:xfrm>
                    <a:prstGeom prst="rect">
                      <a:avLst/>
                    </a:prstGeom>
                    <a:noFill/>
                    <a:ln>
                      <a:noFill/>
                    </a:ln>
                  </pic:spPr>
                </pic:pic>
              </a:graphicData>
            </a:graphic>
          </wp:inline>
        </w:drawing>
      </w:r>
    </w:p>
    <w:p>
      <w:pPr>
        <w:pStyle w:val="15"/>
        <w:tabs>
          <w:tab w:val="left" w:pos="993"/>
        </w:tabs>
        <w:spacing w:before="0" w:beforeAutospacing="0" w:after="0" w:afterAutospacing="0"/>
        <w:ind w:left="284" w:hanging="284"/>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Figure 15. NIB and PIRT registration guide</w:t>
      </w:r>
    </w:p>
    <w:p>
      <w:pPr>
        <w:pStyle w:val="15"/>
        <w:tabs>
          <w:tab w:val="left" w:pos="993"/>
        </w:tabs>
        <w:spacing w:before="0" w:beforeAutospacing="0" w:after="0" w:afterAutospacing="0"/>
        <w:ind w:left="284" w:firstLine="709"/>
        <w:jc w:val="center"/>
        <w:textAlignment w:val="baseline"/>
        <w:rPr>
          <w:color w:val="000000" w:themeColor="text1"/>
          <w14:textFill>
            <w14:solidFill>
              <w14:schemeClr w14:val="tx1"/>
            </w14:solidFill>
          </w14:textFill>
        </w:rPr>
      </w:pPr>
    </w:p>
    <w:p>
      <w:pPr>
        <w:pStyle w:val="15"/>
        <w:tabs>
          <w:tab w:val="left" w:pos="993"/>
        </w:tabs>
        <w:spacing w:before="0" w:beforeAutospacing="0" w:after="0" w:afterAutospacing="0"/>
        <w:ind w:left="709" w:hanging="709"/>
        <w:jc w:val="both"/>
        <w:textAlignment w:val="baseline"/>
        <w:rPr>
          <w:color w:val="000000" w:themeColor="text1"/>
          <w14:textFill>
            <w14:solidFill>
              <w14:schemeClr w14:val="tx1"/>
            </w14:solidFill>
          </w14:textFill>
        </w:rPr>
      </w:pPr>
      <w:r>
        <w:drawing>
          <wp:inline distT="0" distB="0" distL="0" distR="0">
            <wp:extent cx="2193925" cy="1696085"/>
            <wp:effectExtent l="0" t="0" r="0" b="0"/>
            <wp:docPr id="1082799537" name="Picture 1082799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99537" name="Picture 10827995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205163" cy="1704789"/>
                    </a:xfrm>
                    <a:prstGeom prst="rect">
                      <a:avLst/>
                    </a:prstGeom>
                    <a:noFill/>
                    <a:ln>
                      <a:noFill/>
                    </a:ln>
                  </pic:spPr>
                </pic:pic>
              </a:graphicData>
            </a:graphic>
          </wp:inline>
        </w:drawing>
      </w:r>
    </w:p>
    <w:p>
      <w:pPr>
        <w:pStyle w:val="15"/>
        <w:tabs>
          <w:tab w:val="left" w:pos="993"/>
        </w:tabs>
        <w:spacing w:before="0" w:beforeAutospacing="0" w:after="0" w:afterAutospacing="0"/>
        <w:ind w:left="709" w:hanging="567"/>
        <w:jc w:val="both"/>
        <w:textAlignment w:val="baseline"/>
        <w:rPr>
          <w:color w:val="000000" w:themeColor="text1"/>
          <w14:textFill>
            <w14:solidFill>
              <w14:schemeClr w14:val="tx1"/>
            </w14:solidFill>
          </w14:textFill>
        </w:rPr>
      </w:pPr>
      <w:r>
        <w:rPr>
          <w:color w:val="000000" w:themeColor="text1"/>
          <w14:textFill>
            <w14:solidFill>
              <w14:schemeClr w14:val="tx1"/>
            </w14:solidFill>
          </w14:textFill>
        </w:rPr>
        <w:t>Figure 16. Product Booklet</w:t>
      </w:r>
    </w:p>
    <w:p>
      <w:pPr>
        <w:pStyle w:val="15"/>
        <w:tabs>
          <w:tab w:val="left" w:pos="993"/>
        </w:tabs>
        <w:spacing w:before="0" w:beforeAutospacing="0" w:after="0" w:afterAutospacing="0"/>
        <w:ind w:left="709" w:hanging="567"/>
        <w:jc w:val="both"/>
        <w:textAlignment w:val="baseline"/>
        <w:rPr>
          <w:color w:val="000000" w:themeColor="text1"/>
          <w14:textFill>
            <w14:solidFill>
              <w14:schemeClr w14:val="tx1"/>
            </w14:solidFill>
          </w14:textFill>
        </w:rPr>
      </w:pPr>
    </w:p>
    <w:p>
      <w:pPr>
        <w:pStyle w:val="15"/>
        <w:tabs>
          <w:tab w:val="left" w:pos="709"/>
        </w:tabs>
        <w:spacing w:before="0" w:beforeAutospacing="0" w:after="0" w:afterAutospacing="0"/>
        <w:jc w:val="both"/>
        <w:textAlignment w:val="baseline"/>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t>The book in copyright (HKI) is about the process of making a healthy drink, namely Soy Bob soy milk which is made from real soybeans and processed home-made.</w:t>
      </w:r>
    </w:p>
    <w:p>
      <w:pPr>
        <w:pStyle w:val="15"/>
        <w:tabs>
          <w:tab w:val="left" w:pos="993"/>
        </w:tabs>
        <w:spacing w:before="0" w:beforeAutospacing="0" w:after="0" w:afterAutospacing="0"/>
        <w:jc w:val="both"/>
        <w:textAlignment w:val="baseline"/>
        <w:rPr>
          <w:color w:val="000000" w:themeColor="text1"/>
          <w14:textFill>
            <w14:solidFill>
              <w14:schemeClr w14:val="tx1"/>
            </w14:solidFill>
          </w14:textFill>
        </w:rPr>
      </w:pPr>
      <w:r>
        <w:drawing>
          <wp:anchor distT="0" distB="0" distL="114300" distR="114300" simplePos="0" relativeHeight="251660288" behindDoc="1" locked="0" layoutInCell="1" allowOverlap="1">
            <wp:simplePos x="0" y="0"/>
            <wp:positionH relativeFrom="page">
              <wp:posOffset>914400</wp:posOffset>
            </wp:positionH>
            <wp:positionV relativeFrom="paragraph">
              <wp:posOffset>175260</wp:posOffset>
            </wp:positionV>
            <wp:extent cx="2030095" cy="2352675"/>
            <wp:effectExtent l="0" t="0" r="8255" b="9525"/>
            <wp:wrapTight wrapText="bothSides">
              <wp:wrapPolygon>
                <wp:start x="0" y="0"/>
                <wp:lineTo x="0" y="21513"/>
                <wp:lineTo x="21485" y="21513"/>
                <wp:lineTo x="2148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030095" cy="2352675"/>
                    </a:xfrm>
                    <a:prstGeom prst="rect">
                      <a:avLst/>
                    </a:prstGeom>
                    <a:noFill/>
                    <a:ln>
                      <a:noFill/>
                    </a:ln>
                  </pic:spPr>
                </pic:pic>
              </a:graphicData>
            </a:graphic>
          </wp:anchor>
        </w:drawing>
      </w:r>
    </w:p>
    <w:p>
      <w:pPr>
        <w:spacing w:after="0" w:line="240" w:lineRule="auto"/>
        <w:rPr>
          <w:rFonts w:ascii="Times New Roman" w:hAnsi="Times New Roman" w:eastAsia="Times New Roman" w:cs="Times New Roman"/>
          <w:sz w:val="24"/>
          <w:szCs w:val="24"/>
        </w:rPr>
      </w:pPr>
    </w:p>
    <w:p>
      <w:pPr>
        <w:spacing w:after="0" w:line="240" w:lineRule="auto"/>
        <w:rPr>
          <w:rFonts w:ascii="Times New Roman" w:hAnsi="Times New Roman" w:eastAsia="Times New Roman" w:cs="Times New Roman"/>
          <w:sz w:val="24"/>
          <w:szCs w:val="24"/>
        </w:rPr>
      </w:pPr>
    </w:p>
    <w:p>
      <w:pPr>
        <w:spacing w:after="0" w:line="240" w:lineRule="auto"/>
        <w:rPr>
          <w:rFonts w:ascii="Times New Roman" w:hAnsi="Times New Roman" w:eastAsia="Times New Roman" w:cs="Times New Roman"/>
          <w:sz w:val="24"/>
          <w:szCs w:val="24"/>
        </w:rPr>
      </w:pPr>
    </w:p>
    <w:p>
      <w:pPr>
        <w:spacing w:after="0" w:line="240" w:lineRule="auto"/>
        <w:rPr>
          <w:rFonts w:ascii="Times New Roman" w:hAnsi="Times New Roman" w:eastAsia="Times New Roman" w:cs="Times New Roman"/>
          <w:sz w:val="24"/>
          <w:szCs w:val="24"/>
        </w:rPr>
      </w:pPr>
    </w:p>
    <w:p>
      <w:pPr>
        <w:spacing w:after="0" w:line="240" w:lineRule="auto"/>
        <w:rPr>
          <w:rFonts w:ascii="Times New Roman" w:hAnsi="Times New Roman" w:eastAsia="Times New Roman" w:cs="Times New Roman"/>
          <w:sz w:val="24"/>
          <w:szCs w:val="24"/>
        </w:rPr>
      </w:pPr>
    </w:p>
    <w:p>
      <w:pPr>
        <w:spacing w:after="0" w:line="240" w:lineRule="auto"/>
        <w:rPr>
          <w:rFonts w:ascii="Times New Roman" w:hAnsi="Times New Roman" w:eastAsia="Times New Roman" w:cs="Times New Roman"/>
          <w:sz w:val="24"/>
          <w:szCs w:val="24"/>
        </w:rPr>
      </w:pPr>
    </w:p>
    <w:p>
      <w:pPr>
        <w:spacing w:after="0" w:line="240" w:lineRule="auto"/>
        <w:rPr>
          <w:rFonts w:ascii="Times New Roman" w:hAnsi="Times New Roman" w:eastAsia="Times New Roman" w:cs="Times New Roman"/>
          <w:sz w:val="24"/>
          <w:szCs w:val="24"/>
        </w:rPr>
      </w:pPr>
    </w:p>
    <w:p>
      <w:pPr>
        <w:spacing w:after="0" w:line="240" w:lineRule="auto"/>
        <w:rPr>
          <w:rFonts w:ascii="Times New Roman" w:hAnsi="Times New Roman" w:eastAsia="Times New Roman" w:cs="Times New Roman"/>
          <w:sz w:val="24"/>
          <w:szCs w:val="24"/>
        </w:rPr>
      </w:pPr>
    </w:p>
    <w:p>
      <w:pPr>
        <w:spacing w:after="0" w:line="240" w:lineRule="auto"/>
        <w:rPr>
          <w:rFonts w:ascii="Times New Roman" w:hAnsi="Times New Roman" w:eastAsia="Times New Roman" w:cs="Times New Roman"/>
          <w:sz w:val="24"/>
          <w:szCs w:val="24"/>
        </w:rPr>
      </w:pPr>
    </w:p>
    <w:p>
      <w:pPr>
        <w:spacing w:after="0" w:line="240" w:lineRule="auto"/>
        <w:rPr>
          <w:rFonts w:ascii="Times New Roman" w:hAnsi="Times New Roman" w:eastAsia="Times New Roman" w:cs="Times New Roman"/>
          <w:sz w:val="24"/>
          <w:szCs w:val="24"/>
        </w:rPr>
      </w:pPr>
    </w:p>
    <w:p>
      <w:pPr>
        <w:spacing w:after="0" w:line="240" w:lineRule="auto"/>
        <w:rPr>
          <w:rFonts w:ascii="Times New Roman" w:hAnsi="Times New Roman" w:eastAsia="Times New Roman" w:cs="Times New Roman"/>
          <w:sz w:val="24"/>
          <w:szCs w:val="24"/>
        </w:rPr>
      </w:pPr>
    </w:p>
    <w:p>
      <w:pPr>
        <w:spacing w:after="0" w:line="240" w:lineRule="auto"/>
        <w:rPr>
          <w:rFonts w:ascii="Times New Roman" w:hAnsi="Times New Roman" w:eastAsia="Times New Roman" w:cs="Times New Roman"/>
          <w:sz w:val="24"/>
          <w:szCs w:val="24"/>
        </w:rPr>
      </w:pPr>
    </w:p>
    <w:p>
      <w:pPr>
        <w:spacing w:after="0" w:line="240" w:lineRule="auto"/>
        <w:rPr>
          <w:rFonts w:ascii="Times New Roman" w:hAnsi="Times New Roman" w:eastAsia="Times New Roman" w:cs="Times New Roman"/>
          <w:sz w:val="24"/>
          <w:szCs w:val="24"/>
        </w:rPr>
      </w:pPr>
    </w:p>
    <w:p>
      <w:pPr>
        <w:spacing w:after="0" w:line="240" w:lineRule="auto"/>
        <w:rPr>
          <w:rFonts w:ascii="Times New Roman" w:hAnsi="Times New Roman" w:eastAsia="Times New Roman" w:cs="Times New Roman"/>
          <w:sz w:val="24"/>
          <w:szCs w:val="24"/>
        </w:rPr>
      </w:pPr>
    </w:p>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Figure 17. Soy Bob HKI Book</w:t>
      </w:r>
    </w:p>
    <w:p>
      <w:pPr>
        <w:spacing w:after="0" w:line="240" w:lineRule="auto"/>
        <w:rPr>
          <w:rFonts w:ascii="Times New Roman" w:hAnsi="Times New Roman" w:eastAsia="Times New Roman" w:cs="Times New Roman"/>
          <w:sz w:val="24"/>
          <w:szCs w:val="24"/>
        </w:rPr>
      </w:pPr>
    </w:p>
    <w:p>
      <w:pPr>
        <w:spacing w:after="0" w:line="240" w:lineRule="auto"/>
        <w:rPr>
          <w:rFonts w:ascii="Times New Roman" w:hAnsi="Times New Roman" w:eastAsia="Times New Roman" w:cs="Times New Roman"/>
          <w:b/>
          <w:color w:val="000000"/>
          <w:sz w:val="24"/>
          <w:szCs w:val="24"/>
        </w:rPr>
      </w:pPr>
    </w:p>
    <w:p>
      <w:pPr>
        <w:spacing w:after="0" w:line="240" w:lineRule="auto"/>
        <w:rPr>
          <w:rFonts w:ascii="Times New Roman" w:hAnsi="Times New Roman" w:eastAsia="Times New Roman" w:cs="Times New Roman"/>
          <w:b/>
          <w:color w:val="000000"/>
          <w:sz w:val="24"/>
          <w:szCs w:val="24"/>
        </w:rPr>
      </w:pPr>
    </w:p>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color w:val="000000"/>
          <w:sz w:val="24"/>
          <w:szCs w:val="24"/>
        </w:rPr>
        <w:t>Conclusion</w:t>
      </w:r>
    </w:p>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i/>
          <w:color w:val="000000"/>
          <w:sz w:val="24"/>
          <w:szCs w:val="24"/>
        </w:rPr>
        <w:t>(Simpulan)</w:t>
      </w:r>
      <w:bookmarkStart w:id="1" w:name="_Toc122423053"/>
    </w:p>
    <w:p>
      <w:pPr>
        <w:spacing w:after="0" w:line="240" w:lineRule="auto"/>
        <w:rPr>
          <w:rFonts w:ascii="Times New Roman" w:hAnsi="Times New Roman" w:eastAsia="Times New Roman" w:cs="Times New Roman"/>
          <w:sz w:val="24"/>
          <w:szCs w:val="24"/>
        </w:rPr>
      </w:pPr>
    </w:p>
    <w:bookmarkEnd w:id="1"/>
    <w:p>
      <w:pPr>
        <w:spacing w:after="0" w:line="240" w:lineRule="auto"/>
        <w:ind w:firstLine="567"/>
        <w:jc w:val="both"/>
        <w:rPr>
          <w:rFonts w:ascii="Times New Roman" w:hAnsi="Times New Roman" w:cs="Times New Roman"/>
          <w:color w:val="000000"/>
          <w:kern w:val="36"/>
          <w:sz w:val="24"/>
          <w:szCs w:val="24"/>
        </w:rPr>
      </w:pPr>
      <w:r>
        <w:rPr>
          <w:rFonts w:ascii="Times New Roman" w:hAnsi="Times New Roman" w:cs="Times New Roman"/>
          <w:color w:val="000000"/>
          <w:kern w:val="36"/>
          <w:sz w:val="24"/>
          <w:szCs w:val="24"/>
        </w:rPr>
        <w:t>The conclusion of the activity of Empowering the Production of Healthy Soy Milk "Soy Bob" Soy Milk for Small Business Groups in Mangunharjo Subdistrict, Tembalang, Semarang, was that it could be implemented well. This could be seen in increasing public awareness and understanding of the importance of "Soy Bob" soy milk for health. Apart from that, the availability of several guidelines and the implementation of several activities had proven to have strengthened the quality of healthy products in the Mangunharjo Tembalang area.</w:t>
      </w:r>
    </w:p>
    <w:p>
      <w:pPr>
        <w:spacing w:after="0" w:line="240" w:lineRule="auto"/>
        <w:ind w:firstLine="567"/>
        <w:jc w:val="both"/>
        <w:rPr>
          <w:rFonts w:ascii="Times New Roman" w:hAnsi="Times New Roman" w:eastAsia="Times New Roman" w:cs="Times New Roman"/>
          <w:sz w:val="24"/>
          <w:szCs w:val="24"/>
        </w:rPr>
      </w:pPr>
      <w:r>
        <w:rPr>
          <w:rFonts w:ascii="Times New Roman" w:hAnsi="Times New Roman" w:cs="Times New Roman"/>
          <w:color w:val="000000"/>
          <w:kern w:val="36"/>
          <w:sz w:val="24"/>
          <w:szCs w:val="24"/>
        </w:rPr>
        <w:t>For this reason, increasing the productivity of assisted villages needs to be further motivated, namely by training on other healthy food and drink products. Apart from improving health, this activity can also increase the income of the target village.</w:t>
      </w:r>
    </w:p>
    <w:p>
      <w:pPr>
        <w:spacing w:after="0" w:line="240" w:lineRule="auto"/>
        <w:rPr>
          <w:rFonts w:ascii="Times New Roman" w:hAnsi="Times New Roman" w:eastAsia="Times New Roman" w:cs="Times New Roman"/>
          <w:b/>
          <w:color w:val="000000"/>
          <w:sz w:val="24"/>
          <w:szCs w:val="24"/>
        </w:rPr>
      </w:pPr>
    </w:p>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color w:val="000000"/>
          <w:sz w:val="24"/>
          <w:szCs w:val="24"/>
        </w:rPr>
        <w:t>References</w:t>
      </w:r>
    </w:p>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i/>
          <w:color w:val="000000"/>
          <w:sz w:val="24"/>
          <w:szCs w:val="24"/>
        </w:rPr>
        <w:t>(Daftar Pustaka)</w:t>
      </w:r>
    </w:p>
    <w:p>
      <w:pPr>
        <w:spacing w:after="0" w:line="240" w:lineRule="auto"/>
        <w:rPr>
          <w:rFonts w:ascii="Times New Roman" w:hAnsi="Times New Roman" w:eastAsia="Times New Roman" w:cs="Times New Roman"/>
          <w:sz w:val="24"/>
          <w:szCs w:val="24"/>
        </w:rPr>
      </w:pPr>
    </w:p>
    <w:p>
      <w:pPr>
        <w:numPr>
          <w:ilvl w:val="0"/>
          <w:numId w:val="1"/>
        </w:numPr>
        <w:spacing w:after="0" w:line="240" w:lineRule="auto"/>
        <w:ind w:left="360"/>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Pr>
        <w:t xml:space="preserve">Wiryani </w:t>
      </w:r>
      <w:r>
        <w:rPr>
          <w:rFonts w:ascii="Times New Roman" w:hAnsi="Times New Roman" w:cs="Times New Roman"/>
          <w:color w:val="222222"/>
          <w:sz w:val="24"/>
          <w:szCs w:val="24"/>
          <w:shd w:val="clear" w:color="auto" w:fill="FFFFFF"/>
        </w:rPr>
        <w:t>Arianty, N., &amp; Masyhura, M. (2019, October). Strategi Pemasaran Susu Kedelai Dalam Upaya Meningkatkan Pendapatan Keluarga. In Prosiding Seminar Nasional Kewirausahaan. 2019;1(1): 257-264.</w:t>
      </w:r>
    </w:p>
    <w:p>
      <w:pPr>
        <w:numPr>
          <w:ilvl w:val="0"/>
          <w:numId w:val="1"/>
        </w:numPr>
        <w:spacing w:after="0" w:line="240" w:lineRule="auto"/>
        <w:ind w:left="360"/>
        <w:jc w:val="both"/>
        <w:rPr>
          <w:rFonts w:ascii="Times New Roman" w:hAnsi="Times New Roman" w:eastAsia="Times New Roman" w:cs="Times New Roman"/>
          <w:color w:val="000000"/>
          <w:sz w:val="24"/>
          <w:szCs w:val="24"/>
        </w:rPr>
      </w:pPr>
      <w:r>
        <w:rPr>
          <w:rFonts w:ascii="Times New Roman" w:hAnsi="Times New Roman" w:cs="Times New Roman"/>
          <w:sz w:val="24"/>
          <w:szCs w:val="24"/>
        </w:rPr>
        <w:t>Dharma Raflesia</w:t>
      </w:r>
      <w:r>
        <w:rPr>
          <w:rFonts w:ascii="Times New Roman" w:hAnsi="Times New Roman" w:cs="Times New Roman"/>
          <w:b/>
          <w:bCs/>
          <w:sz w:val="24"/>
          <w:szCs w:val="24"/>
        </w:rPr>
        <w:t xml:space="preserve"> </w:t>
      </w:r>
      <w:r>
        <w:rPr>
          <w:rFonts w:ascii="Times New Roman" w:hAnsi="Times New Roman" w:cs="Times New Roman"/>
          <w:sz w:val="24"/>
          <w:szCs w:val="24"/>
        </w:rPr>
        <w:t xml:space="preserve">Jurnal Ilmiah Pengembangan dan Penerapan IPTEKS Vol. 18, No. 02, Desember, 2020, pp. 259 - 268 </w:t>
      </w:r>
    </w:p>
    <w:p>
      <w:pPr>
        <w:numPr>
          <w:ilvl w:val="0"/>
          <w:numId w:val="1"/>
        </w:numPr>
        <w:spacing w:after="0" w:line="240" w:lineRule="auto"/>
        <w:ind w:left="360"/>
        <w:jc w:val="both"/>
        <w:rPr>
          <w:rFonts w:ascii="Times New Roman" w:hAnsi="Times New Roman" w:eastAsia="Times New Roman" w:cs="Times New Roman"/>
          <w:sz w:val="24"/>
          <w:szCs w:val="24"/>
        </w:rPr>
      </w:pPr>
      <w:r>
        <w:rPr>
          <w:rFonts w:ascii="Times New Roman" w:hAnsi="Times New Roman" w:cs="Times New Roman"/>
          <w:color w:val="222222"/>
          <w:sz w:val="24"/>
          <w:szCs w:val="24"/>
          <w:shd w:val="clear" w:color="auto" w:fill="FFFFFF"/>
        </w:rPr>
        <w:t xml:space="preserve">Cahyono, A. D. Manfaat susu kedelai sebagai terapi penurun kadar glukosa darah pada klien diabetes mellitus (Study eksperimental di poli penyakit dalam RSUD Pare Kabupaten Kediri tahun 2010). J Akademi Keperawatan Pamenang, 2011;4, 28-37. </w:t>
      </w:r>
      <w:r>
        <w:fldChar w:fldCharType="begin"/>
      </w:r>
      <w:r>
        <w:instrText xml:space="preserve"> HYPERLINK "https://mopolayio.fe.ung.ac.id/index.php/mopolayio%20diakses%20pada%20tanggal%2019/11/2022" </w:instrText>
      </w:r>
      <w:r>
        <w:fldChar w:fldCharType="separate"/>
      </w:r>
      <w:r>
        <w:rPr>
          <w:rStyle w:val="14"/>
          <w:rFonts w:ascii="Times New Roman" w:hAnsi="Times New Roman" w:cs="Times New Roman"/>
          <w:color w:val="auto"/>
          <w:sz w:val="24"/>
          <w:szCs w:val="24"/>
          <w:u w:val="none"/>
        </w:rPr>
        <w:t>https://mopolayio.fe.ung.ac.id/index.php/mopolayio diakses pada tanggal 19/11/2022</w:t>
      </w:r>
      <w:r>
        <w:rPr>
          <w:rStyle w:val="14"/>
          <w:rFonts w:ascii="Times New Roman" w:hAnsi="Times New Roman" w:cs="Times New Roman"/>
          <w:color w:val="auto"/>
          <w:sz w:val="24"/>
          <w:szCs w:val="24"/>
          <w:u w:val="none"/>
        </w:rPr>
        <w:fldChar w:fldCharType="end"/>
      </w:r>
    </w:p>
    <w:p>
      <w:pPr>
        <w:numPr>
          <w:ilvl w:val="0"/>
          <w:numId w:val="1"/>
        </w:numPr>
        <w:spacing w:after="0" w:line="240" w:lineRule="auto"/>
        <w:ind w:left="360"/>
        <w:jc w:val="both"/>
        <w:rPr>
          <w:rFonts w:ascii="Times New Roman" w:hAnsi="Times New Roman" w:eastAsia="Times New Roman" w:cs="Times New Roman"/>
          <w:color w:val="000000"/>
          <w:sz w:val="24"/>
          <w:szCs w:val="24"/>
        </w:rPr>
      </w:pPr>
      <w:r>
        <w:rPr>
          <w:rFonts w:ascii="Times New Roman" w:hAnsi="Times New Roman" w:cs="Times New Roman"/>
          <w:sz w:val="24"/>
          <w:szCs w:val="24"/>
        </w:rPr>
        <w:t>Katalog Dalam Terbitan. Kementerian Kesehatan RI Indonesia. Kementerian Kesehatan RI. Direktorat Jenderal Kesehatan Masyarakat Tiga Tahun</w:t>
      </w:r>
    </w:p>
    <w:p>
      <w:pPr>
        <w:numPr>
          <w:ilvl w:val="0"/>
          <w:numId w:val="1"/>
        </w:numPr>
        <w:spacing w:after="0" w:line="240" w:lineRule="auto"/>
        <w:ind w:left="360"/>
        <w:jc w:val="both"/>
        <w:rPr>
          <w:rFonts w:ascii="Times New Roman" w:hAnsi="Times New Roman" w:eastAsia="Times New Roman" w:cs="Times New Roman"/>
          <w:color w:val="000000"/>
          <w:sz w:val="24"/>
          <w:szCs w:val="24"/>
        </w:rPr>
      </w:pPr>
      <w:r>
        <w:rPr>
          <w:rFonts w:ascii="Times New Roman" w:hAnsi="Times New Roman" w:cs="Times New Roman"/>
          <w:sz w:val="24"/>
          <w:szCs w:val="24"/>
        </w:rPr>
        <w:t>Germas: Lessons Learned Jakarta: Kementerian Kesehatan RI. 2019</w:t>
      </w:r>
    </w:p>
    <w:p>
      <w:pPr>
        <w:numPr>
          <w:ilvl w:val="0"/>
          <w:numId w:val="1"/>
        </w:numPr>
        <w:spacing w:after="0" w:line="240" w:lineRule="auto"/>
        <w:ind w:left="360"/>
        <w:jc w:val="both"/>
        <w:rPr>
          <w:rFonts w:ascii="Times New Roman" w:hAnsi="Times New Roman" w:eastAsia="Times New Roman" w:cs="Times New Roman"/>
          <w:color w:val="000000"/>
          <w:sz w:val="24"/>
          <w:szCs w:val="24"/>
        </w:rPr>
      </w:pPr>
      <w:r>
        <w:rPr>
          <w:rFonts w:ascii="Times New Roman" w:hAnsi="Times New Roman" w:cs="Times New Roman"/>
          <w:color w:val="222222"/>
          <w:sz w:val="24"/>
          <w:szCs w:val="24"/>
          <w:shd w:val="clear" w:color="auto" w:fill="FFFFFF"/>
        </w:rPr>
        <w:t>Puspitasari, E. Pengaruh pemberian susu kedelai terhadap peningkatan produksi asi pada ibu nifas di rb bina sehat bantul. Jurnal Kebidanan, 2018</w:t>
      </w:r>
      <w:r>
        <w:rPr>
          <w:rFonts w:ascii="Times New Roman" w:hAnsi="Times New Roman" w:cs="Times New Roman"/>
          <w:i/>
          <w:iCs/>
          <w:color w:val="222222"/>
          <w:sz w:val="24"/>
          <w:szCs w:val="24"/>
          <w:shd w:val="clear" w:color="auto" w:fill="FFFFFF"/>
        </w:rPr>
        <w:t>7</w:t>
      </w:r>
      <w:r>
        <w:rPr>
          <w:rFonts w:ascii="Times New Roman" w:hAnsi="Times New Roman" w:cs="Times New Roman"/>
          <w:color w:val="222222"/>
          <w:sz w:val="24"/>
          <w:szCs w:val="24"/>
          <w:shd w:val="clear" w:color="auto" w:fill="FFFFFF"/>
        </w:rPr>
        <w:t>(1), 54-60.</w:t>
      </w:r>
    </w:p>
    <w:p>
      <w:pPr>
        <w:numPr>
          <w:ilvl w:val="0"/>
          <w:numId w:val="1"/>
        </w:numPr>
        <w:spacing w:after="0" w:line="240" w:lineRule="auto"/>
        <w:ind w:left="360"/>
        <w:jc w:val="both"/>
        <w:rPr>
          <w:rFonts w:ascii="Times New Roman" w:hAnsi="Times New Roman" w:eastAsia="Times New Roman" w:cs="Times New Roman"/>
          <w:color w:val="000000"/>
          <w:sz w:val="24"/>
          <w:szCs w:val="24"/>
        </w:rPr>
      </w:pPr>
      <w:r>
        <w:rPr>
          <w:rFonts w:ascii="Times New Roman" w:hAnsi="Times New Roman" w:cs="Times New Roman"/>
          <w:color w:val="222222"/>
          <w:sz w:val="24"/>
          <w:szCs w:val="24"/>
          <w:shd w:val="clear" w:color="auto" w:fill="FFFFFF"/>
        </w:rPr>
        <w:t>Sutrisno, S. Pemberdayaan Anggota Majelis Taklim Melalui Usaha Susu Kedelai Dan Nugget. Comvice: Journal of community service, 2018;2(2), 21-28.</w:t>
      </w:r>
    </w:p>
    <w:p>
      <w:pPr>
        <w:numPr>
          <w:ilvl w:val="0"/>
          <w:numId w:val="1"/>
        </w:numPr>
        <w:spacing w:after="0" w:line="240" w:lineRule="auto"/>
        <w:ind w:left="360"/>
        <w:jc w:val="both"/>
        <w:rPr>
          <w:rFonts w:ascii="Times New Roman" w:hAnsi="Times New Roman" w:eastAsia="Times New Roman" w:cs="Times New Roman"/>
          <w:color w:val="000000"/>
          <w:sz w:val="24"/>
          <w:szCs w:val="24"/>
        </w:rPr>
      </w:pPr>
      <w:r>
        <w:rPr>
          <w:rFonts w:ascii="Times New Roman" w:hAnsi="Times New Roman" w:cs="Times New Roman"/>
          <w:color w:val="222222"/>
          <w:sz w:val="24"/>
          <w:szCs w:val="24"/>
          <w:shd w:val="clear" w:color="auto" w:fill="FFFFFF"/>
        </w:rPr>
        <w:t>Wimpertiwi, D., Sasongko, A. H., &amp; Kurniawan, A. Konsep Business Process ReenginEering untuk Memperbaiki Kinerja Bisnis Menjadi Lebih Baik: Studi Kasus Perusahaan Susu Kedelai “XYZ”. Binus Business Review, (2014) 5(2), 658-668.</w:t>
      </w:r>
    </w:p>
    <w:p>
      <w:pPr>
        <w:numPr>
          <w:ilvl w:val="0"/>
          <w:numId w:val="1"/>
        </w:numPr>
        <w:spacing w:after="0" w:line="240" w:lineRule="auto"/>
        <w:ind w:left="360"/>
        <w:jc w:val="both"/>
        <w:rPr>
          <w:rFonts w:ascii="Times New Roman" w:hAnsi="Times New Roman" w:eastAsia="Times New Roman" w:cs="Times New Roman"/>
          <w:color w:val="000000"/>
          <w:sz w:val="24"/>
          <w:szCs w:val="24"/>
        </w:rPr>
      </w:pPr>
      <w:r>
        <w:rPr>
          <w:rFonts w:ascii="Times New Roman" w:hAnsi="Times New Roman" w:cs="Times New Roman"/>
          <w:sz w:val="24"/>
          <w:szCs w:val="24"/>
        </w:rPr>
        <w:t xml:space="preserve">Sandy W.T., Tata Kelola Administrasi Keuangan Sederhana untuk UMKM dan Kelompok Usaha Bersama.  My Journey are so Beautiful. Link </w:t>
      </w:r>
      <w:r>
        <w:fldChar w:fldCharType="begin"/>
      </w:r>
      <w:r>
        <w:instrText xml:space="preserve"> HYPERLINK "https://widytaurus.wordpress.com/2017/11/16/tata-kelola-administrasi-keuangan-sederhana-untuk-umkm-dan-kelompok-usaha-bersama/" </w:instrText>
      </w:r>
      <w:r>
        <w:fldChar w:fldCharType="separate"/>
      </w:r>
      <w:r>
        <w:rPr>
          <w:rStyle w:val="14"/>
          <w:rFonts w:ascii="Times New Roman" w:hAnsi="Times New Roman" w:cs="Times New Roman"/>
          <w:color w:val="auto"/>
          <w:sz w:val="24"/>
          <w:szCs w:val="24"/>
          <w:u w:val="none"/>
        </w:rPr>
        <w:t>https://widytaurus.wordpress.com/2017/11/16/tata-kelola-administrasi-keuangan-sederhana-untuk-umkm-dan-kelompok-usaha-bersama/</w:t>
      </w:r>
      <w:r>
        <w:rPr>
          <w:rStyle w:val="14"/>
          <w:rFonts w:ascii="Times New Roman" w:hAnsi="Times New Roman" w:cs="Times New Roman"/>
          <w:color w:val="auto"/>
          <w:sz w:val="24"/>
          <w:szCs w:val="24"/>
          <w:u w:val="none"/>
        </w:rPr>
        <w:fldChar w:fldCharType="end"/>
      </w:r>
      <w:r>
        <w:rPr>
          <w:rFonts w:ascii="Times New Roman" w:hAnsi="Times New Roman" w:cs="Times New Roman"/>
          <w:sz w:val="24"/>
          <w:szCs w:val="24"/>
        </w:rPr>
        <w:t xml:space="preserve"> diakses pada tanggal 20/11/2022</w:t>
      </w:r>
    </w:p>
    <w:p>
      <w:pPr>
        <w:numPr>
          <w:ilvl w:val="0"/>
          <w:numId w:val="1"/>
        </w:numPr>
        <w:spacing w:after="0" w:line="240" w:lineRule="auto"/>
        <w:ind w:left="360"/>
        <w:jc w:val="both"/>
        <w:rPr>
          <w:rFonts w:ascii="Times New Roman" w:hAnsi="Times New Roman" w:eastAsia="Times New Roman" w:cs="Times New Roman"/>
          <w:sz w:val="24"/>
          <w:szCs w:val="24"/>
        </w:rPr>
      </w:pPr>
      <w:r>
        <w:rPr>
          <w:rFonts w:ascii="Times New Roman" w:hAnsi="Times New Roman" w:cs="Times New Roman"/>
          <w:sz w:val="24"/>
          <w:szCs w:val="24"/>
        </w:rPr>
        <w:t xml:space="preserve">Noholo S., Lukum A. </w:t>
      </w:r>
      <w:r>
        <w:rPr>
          <w:rFonts w:ascii="Times New Roman" w:hAnsi="Times New Roman" w:cs="Times New Roman"/>
          <w:bCs/>
          <w:sz w:val="24"/>
          <w:szCs w:val="24"/>
        </w:rPr>
        <w:t xml:space="preserve">Pengelolaan Administrasi dan Pencatatan Akuntansi Bagi Usaha Mikro Kecil Menengah. Mopolayio : Jurnal Pengabdian Ekonomi, 1(1): 11- 2021. Link </w:t>
      </w:r>
      <w:r>
        <w:fldChar w:fldCharType="begin"/>
      </w:r>
      <w:r>
        <w:instrText xml:space="preserve"> HYPERLINK "https://mopolayio.fe.ung.ac.id/index.php/mopolayio%20diakses%20pada%20tanggal%2019/11/2022" </w:instrText>
      </w:r>
      <w:r>
        <w:fldChar w:fldCharType="separate"/>
      </w:r>
      <w:r>
        <w:rPr>
          <w:rStyle w:val="14"/>
          <w:rFonts w:ascii="Times New Roman" w:hAnsi="Times New Roman" w:cs="Times New Roman"/>
          <w:color w:val="auto"/>
          <w:sz w:val="24"/>
          <w:szCs w:val="24"/>
          <w:u w:val="none"/>
        </w:rPr>
        <w:t>https://mopolayio.fe.ung.ac.id/index.php/mopolayio diakses pada tanggal 19/11/2022</w:t>
      </w:r>
      <w:r>
        <w:rPr>
          <w:rStyle w:val="14"/>
          <w:rFonts w:ascii="Times New Roman" w:hAnsi="Times New Roman" w:cs="Times New Roman"/>
          <w:color w:val="auto"/>
          <w:sz w:val="24"/>
          <w:szCs w:val="24"/>
          <w:u w:val="none"/>
        </w:rPr>
        <w:fldChar w:fldCharType="end"/>
      </w:r>
    </w:p>
    <w:p>
      <w:pPr>
        <w:numPr>
          <w:ilvl w:val="0"/>
          <w:numId w:val="1"/>
        </w:numPr>
        <w:spacing w:after="0" w:line="240" w:lineRule="auto"/>
        <w:ind w:left="360"/>
        <w:jc w:val="both"/>
        <w:rPr>
          <w:rFonts w:ascii="Times New Roman" w:hAnsi="Times New Roman" w:eastAsia="Times New Roman" w:cs="Times New Roman"/>
          <w:color w:val="000000"/>
          <w:sz w:val="24"/>
          <w:szCs w:val="24"/>
        </w:rPr>
      </w:pPr>
      <w:r>
        <w:rPr>
          <w:rFonts w:ascii="Times New Roman" w:hAnsi="Times New Roman" w:cs="Times New Roman"/>
        </w:rPr>
        <w:t>Ade Raselawati, Pengaruh Perkembangan Usaha Kecil Menengah Terhadap Pertumbuhan Ekonomi Pada Sektor UKM Di Indonesia, Skripsi, (Fakultas Ekonomi dan Bisnis, Universitas Islam Negeri Syarif Hidayatullah</w:t>
      </w:r>
      <w:bookmarkStart w:id="2" w:name="_GoBack"/>
      <w:bookmarkEnd w:id="2"/>
      <w:r>
        <w:rPr>
          <w:rFonts w:ascii="Times New Roman" w:hAnsi="Times New Roman" w:cs="Times New Roman"/>
        </w:rPr>
        <w:t>: Jakarta, 2011), hal. 12</w:t>
      </w:r>
    </w:p>
    <w:sectPr>
      <w:pgSz w:w="12240" w:h="15840"/>
      <w:pgMar w:top="1440" w:right="1440" w:bottom="1440" w:left="1440" w:header="720" w:footer="864" w:gutter="0"/>
      <w:cols w:equalWidth="0" w:num="2">
        <w:col w:w="4320" w:space="720"/>
        <w:col w:w="432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 w:name="Arial">
    <w:panose1 w:val="020B0604020202020204"/>
    <w:charset w:val="00"/>
    <w:family w:val="swiss"/>
    <w:pitch w:val="default"/>
    <w:sig w:usb0="00000000" w:usb1="00000000" w:usb2="00000000" w:usb3="00000000" w:csb0="00000000" w:csb1="00000000"/>
  </w:font>
  <w:font w:name="黑体">
    <w:altName w:val="黑体-简"/>
    <w:panose1 w:val="02010600030101010101"/>
    <w:charset w:val="00"/>
    <w:family w:val="auto"/>
    <w:pitch w:val="default"/>
    <w:sig w:usb0="00000001" w:usb1="080E0000" w:usb2="00000010" w:usb3="00000000" w:csb0="00040000" w:csb1="00000000"/>
  </w:font>
  <w:font w:name="黑体-简">
    <w:panose1 w:val="02000000000000000000"/>
    <w:charset w:val="86"/>
    <w:family w:val="auto"/>
    <w:pitch w:val="default"/>
    <w:sig w:usb0="00000000" w:usb1="00000000" w:usb2="00000000" w:usb3="00000000" w:csb0="00160000" w:csb1="00000000"/>
  </w:font>
  <w:font w:name="Courier New">
    <w:panose1 w:val="02070309020205020404"/>
    <w:charset w:val="00"/>
    <w:family w:val="modern"/>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00000000" w:csb1="00000000"/>
  </w:font>
  <w:font w:name="Calibri">
    <w:altName w:val="Helvetica Neue"/>
    <w:panose1 w:val="020F0502020204030204"/>
    <w:charset w:val="86"/>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SimSun">
    <w:altName w:val="宋体-简"/>
    <w:panose1 w:val="02010600030101010101"/>
    <w:charset w:val="86"/>
    <w:family w:val="auto"/>
    <w:pitch w:val="default"/>
    <w:sig w:usb0="00000000" w:usb1="00000000" w:usb2="00000016" w:usb3="00000000" w:csb0="00040001" w:csb1="00000000"/>
  </w:font>
  <w:font w:name="Tahoma">
    <w:panose1 w:val="020B0604030504040204"/>
    <w:charset w:val="00"/>
    <w:family w:val="swiss"/>
    <w:pitch w:val="default"/>
    <w:sig w:usb0="00000000" w:usb1="00000000" w:usb2="00000000" w:usb3="00000000" w:csb0="00000000" w:csb1="00000000"/>
  </w:font>
  <w:font w:name="Georgia">
    <w:panose1 w:val="02040502050405020303"/>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D9D9D9" w:sz="4" w:space="1"/>
        <w:left w:val="none" w:color="auto" w:sz="0" w:space="0"/>
        <w:bottom w:val="none" w:color="auto" w:sz="0" w:space="0"/>
        <w:right w:val="none" w:color="auto" w:sz="0" w:space="0"/>
        <w:between w:val="none" w:color="auto" w:sz="0" w:space="0"/>
      </w:pBdr>
      <w:tabs>
        <w:tab w:val="center" w:pos="4680"/>
        <w:tab w:val="right" w:pos="9360"/>
      </w:tabs>
      <w:spacing w:after="0" w:line="240" w:lineRule="auto"/>
      <w:jc w:val="right"/>
      <w:rPr>
        <w:b/>
        <w:color w:val="000000"/>
      </w:rPr>
    </w:pPr>
    <w:r>
      <w:rPr>
        <w:color w:val="000000"/>
      </w:rPr>
      <w:fldChar w:fldCharType="begin"/>
    </w:r>
    <w:r>
      <w:rPr>
        <w:color w:val="000000"/>
      </w:rPr>
      <w:instrText xml:space="preserve">PAGE</w:instrText>
    </w:r>
    <w:r>
      <w:rPr>
        <w:color w:val="000000"/>
      </w:rPr>
      <w:fldChar w:fldCharType="separate"/>
    </w:r>
    <w:r>
      <w:rPr>
        <w:color w:val="000000"/>
      </w:rPr>
      <w:t>2</w:t>
    </w:r>
    <w:r>
      <w:rPr>
        <w:color w:val="000000"/>
      </w:rPr>
      <w:fldChar w:fldCharType="end"/>
    </w:r>
    <w:r>
      <w:rPr>
        <w:b/>
        <w:color w:val="000000"/>
      </w:rPr>
      <w:t xml:space="preserve"> | </w:t>
    </w:r>
    <w:r>
      <w:rPr>
        <w:color w:val="7F7F7F"/>
      </w:rPr>
      <w:t>Page</w:t>
    </w:r>
  </w:p>
  <w:p>
    <w:pPr>
      <w:pStyle w:val="24"/>
      <w:rPr>
        <w:rFonts w:ascii="Arial" w:hAnsi="Arial" w:cs="Arial"/>
        <w:b/>
        <w:bCs/>
        <w:sz w:val="16"/>
        <w:szCs w:val="16"/>
      </w:rPr>
    </w:pPr>
    <w:r>
      <w:rPr>
        <w:rFonts w:ascii="Calibri" w:hAnsi="Calibri" w:eastAsia="Calibri" w:cs="Calibri"/>
        <w:color w:val="000000"/>
      </w:rPr>
      <w:t xml:space="preserve">@copyright author </w:t>
    </w:r>
    <w:r>
      <w:rPr>
        <w:rFonts w:ascii="Arial" w:hAnsi="Arial" w:cs="Arial"/>
        <w:b/>
        <w:bCs/>
        <w:sz w:val="16"/>
        <w:szCs w:val="16"/>
      </w:rPr>
      <w:t xml:space="preserve">WELCOME (WEALTH COMMUNITY EMPOWERMENT) JOURNAL </w:t>
    </w:r>
  </w:p>
  <w:p>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spacing w:after="0" w:line="240" w:lineRule="auto"/>
      <w:rPr>
        <w:rFonts w:ascii="Times New Roman" w:hAnsi="Times New Roman" w:eastAsia="Times New Roman" w:cs="Times New Roman"/>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D9D9D9" w:sz="4" w:space="1"/>
        <w:left w:val="none" w:color="auto" w:sz="0" w:space="0"/>
        <w:bottom w:val="none" w:color="auto" w:sz="0" w:space="0"/>
        <w:right w:val="none" w:color="auto" w:sz="0" w:space="0"/>
        <w:between w:val="none" w:color="auto" w:sz="0" w:space="0"/>
      </w:pBdr>
      <w:tabs>
        <w:tab w:val="center" w:pos="4680"/>
        <w:tab w:val="right" w:pos="9360"/>
      </w:tabs>
      <w:spacing w:after="0" w:line="240" w:lineRule="auto"/>
      <w:jc w:val="right"/>
      <w:rPr>
        <w:b/>
        <w:color w:val="000000"/>
      </w:rPr>
    </w:pPr>
    <w:r>
      <w:rPr>
        <w:color w:val="000000"/>
      </w:rPr>
      <w:fldChar w:fldCharType="begin"/>
    </w:r>
    <w:r>
      <w:rPr>
        <w:color w:val="000000"/>
      </w:rPr>
      <w:instrText xml:space="preserve">PAGE</w:instrText>
    </w:r>
    <w:r>
      <w:rPr>
        <w:color w:val="000000"/>
      </w:rPr>
      <w:fldChar w:fldCharType="separate"/>
    </w:r>
    <w:r>
      <w:rPr>
        <w:color w:val="000000"/>
      </w:rPr>
      <w:t>1</w:t>
    </w:r>
    <w:r>
      <w:rPr>
        <w:color w:val="000000"/>
      </w:rPr>
      <w:fldChar w:fldCharType="end"/>
    </w:r>
    <w:r>
      <w:rPr>
        <w:b/>
        <w:color w:val="000000"/>
      </w:rPr>
      <w:t xml:space="preserve"> | </w:t>
    </w:r>
    <w:r>
      <w:rPr>
        <w:color w:val="7F7F7F"/>
      </w:rPr>
      <w:t>Page</w:t>
    </w:r>
  </w:p>
  <w:p>
    <w:pPr>
      <w:pStyle w:val="24"/>
      <w:rPr>
        <w:rFonts w:ascii="Arial" w:hAnsi="Arial" w:cs="Arial"/>
        <w:b/>
        <w:bCs/>
        <w:sz w:val="16"/>
        <w:szCs w:val="16"/>
      </w:rPr>
    </w:pPr>
    <w:r>
      <w:rPr>
        <w:rFonts w:ascii="Calibri" w:hAnsi="Calibri" w:eastAsia="Calibri" w:cs="Calibri"/>
        <w:color w:val="000000"/>
      </w:rPr>
      <w:t xml:space="preserve">@copyright author </w:t>
    </w:r>
    <w:r>
      <w:rPr>
        <w:rFonts w:ascii="Arial" w:hAnsi="Arial" w:cs="Arial"/>
        <w:b/>
        <w:bCs/>
        <w:sz w:val="16"/>
        <w:szCs w:val="16"/>
      </w:rPr>
      <w:t xml:space="preserve">WELCOME (WEALTH COMMUNITY EMPOWERMENT) JOURNAL </w:t>
    </w:r>
  </w:p>
  <w:p>
    <w:pPr>
      <w:pStyle w:val="24"/>
      <w:jc w:val="both"/>
      <w:rPr>
        <w:rFonts w:ascii="Arial" w:hAnsi="Arial" w:eastAsia="Times New Roman" w:cs="Arial"/>
        <w:vanish/>
        <w:kern w:val="0"/>
        <w:sz w:val="16"/>
        <w:szCs w:val="16"/>
        <w:lang w:eastAsia="zh-CN"/>
        <w14:ligatures w14:val="none"/>
      </w:rPr>
    </w:pPr>
  </w:p>
  <w:p>
    <w:pPr>
      <w:pStyle w:val="24"/>
      <w:jc w:val="both"/>
      <w:rPr>
        <w:rFonts w:ascii="Arial" w:hAnsi="Arial" w:cs="Arial"/>
        <w:sz w:val="16"/>
        <w:szCs w:val="16"/>
      </w:rPr>
    </w:pPr>
  </w:p>
  <w:p>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
      <w:jc w:val="both"/>
      <w:rPr>
        <w:color w:val="70AD47"/>
        <w:sz w:val="16"/>
        <w:szCs w:val="16"/>
        <w:u w:val="single"/>
      </w:rPr>
    </w:pPr>
  </w:p>
  <w:p>
    <w:pPr>
      <w:ind w:left="5040" w:right="-988" w:firstLine="720"/>
      <w:jc w:val="both"/>
      <w:rPr>
        <w:color w:val="70AD47"/>
        <w:sz w:val="16"/>
        <w:szCs w:val="16"/>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40" w:lineRule="auto"/>
      <w:ind w:right="238"/>
      <w:jc w:val="center"/>
      <w:rPr>
        <w:rFonts w:ascii="Arial" w:hAnsi="Arial" w:eastAsia="Arial" w:cs="Arial"/>
        <w:b/>
        <w:color w:val="333333"/>
        <w:sz w:val="16"/>
        <w:szCs w:val="16"/>
      </w:rPr>
    </w:pPr>
    <w:r>
      <w:rPr>
        <w:rFonts w:ascii="Arial" w:hAnsi="Arial" w:cs="Arial"/>
        <w:b/>
        <w:bCs/>
        <w:sz w:val="16"/>
        <w:szCs w:val="16"/>
      </w:rPr>
      <w:t xml:space="preserve">WELCOME (WEALTH COMMUNITY EMPOWERMENT) JOURNAL </w:t>
    </w:r>
    <w:r>
      <w:rPr>
        <w:rFonts w:ascii="Arial" w:hAnsi="Arial" w:eastAsia="Arial" w:cs="Arial"/>
        <w:b/>
        <w:color w:val="333333"/>
        <w:sz w:val="16"/>
        <w:szCs w:val="16"/>
      </w:rPr>
      <w:t xml:space="preserve">Vol …., No …. (2024) </w:t>
    </w:r>
  </w:p>
  <w:p>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spacing w:after="0" w:line="240" w:lineRule="auto"/>
      <w:rPr>
        <w:color w:val="000000"/>
      </w:rPr>
    </w:pPr>
  </w:p>
  <w:p>
    <w:pPr>
      <w:pStyle w:val="24"/>
      <w:jc w:val="center"/>
      <w:rPr>
        <w:rFonts w:ascii="Arial" w:hAnsi="Arial" w:cs="Arial"/>
        <w:b/>
        <w:bCs/>
        <w:sz w:val="40"/>
        <w:szCs w:val="40"/>
      </w:rPr>
    </w:pPr>
    <w:r>
      <w:rPr>
        <w:rFonts w:ascii="Arial" w:hAnsi="Arial" w:cs="Arial"/>
        <w:b/>
        <w:bCs/>
        <w:sz w:val="40"/>
        <w:szCs w:val="40"/>
      </w:rPr>
      <w:t xml:space="preserve">WELCOME (WEALTH COMMUNITY EMPOWERMENT) JOURNAL </w:t>
    </w:r>
  </w:p>
  <w:p>
    <w:pPr>
      <w:spacing w:after="0" w:line="240" w:lineRule="auto"/>
      <w:ind w:left="1620" w:right="238"/>
      <w:jc w:val="center"/>
      <w:rPr>
        <w:rFonts w:ascii="Arial" w:hAnsi="Arial" w:eastAsia="Arial" w:cs="Arial"/>
        <w:b/>
        <w:color w:val="333333"/>
        <w:sz w:val="36"/>
        <w:szCs w:val="36"/>
      </w:rPr>
    </w:pPr>
    <w:r>
      <mc:AlternateContent>
        <mc:Choice Requires="wps">
          <w:drawing>
            <wp:anchor distT="45720" distB="45720" distL="114300" distR="114300" simplePos="0" relativeHeight="251660288" behindDoc="0" locked="0" layoutInCell="1" allowOverlap="1">
              <wp:simplePos x="0" y="0"/>
              <wp:positionH relativeFrom="column">
                <wp:posOffset>4851400</wp:posOffset>
              </wp:positionH>
              <wp:positionV relativeFrom="paragraph">
                <wp:posOffset>237490</wp:posOffset>
              </wp:positionV>
              <wp:extent cx="1562100" cy="533400"/>
              <wp:effectExtent l="0" t="0" r="0" b="0"/>
              <wp:wrapSquare wrapText="bothSides"/>
              <wp:docPr id="218" name="Rectangle 218"/>
              <wp:cNvGraphicFramePr/>
              <a:graphic xmlns:a="http://schemas.openxmlformats.org/drawingml/2006/main">
                <a:graphicData uri="http://schemas.microsoft.com/office/word/2010/wordprocessingShape">
                  <wps:wsp>
                    <wps:cNvSpPr/>
                    <wps:spPr>
                      <a:xfrm>
                        <a:off x="0" y="0"/>
                        <a:ext cx="1562100" cy="533400"/>
                      </a:xfrm>
                      <a:prstGeom prst="rect">
                        <a:avLst/>
                      </a:prstGeom>
                      <a:noFill/>
                      <a:ln>
                        <a:noFill/>
                      </a:ln>
                    </wps:spPr>
                    <wps:txbx>
                      <w:txbxContent>
                        <w:p>
                          <w:pPr>
                            <w:spacing w:line="258" w:lineRule="auto"/>
                            <w:jc w:val="center"/>
                          </w:pPr>
                          <w:r>
                            <w:rPr>
                              <w:color w:val="70AD47"/>
                              <w:sz w:val="16"/>
                              <w:u w:val="single"/>
                            </w:rPr>
                            <w:t>https://ejournal.poltekkes-smg.ac.id/ojs/index.php/welcomejournal</w:t>
                          </w:r>
                        </w:p>
                      </w:txbxContent>
                    </wps:txbx>
                    <wps:bodyPr spcFirstLastPara="1" wrap="square" lIns="91425" tIns="45700" rIns="91425" bIns="45700" anchor="t" anchorCtr="0">
                      <a:noAutofit/>
                    </wps:bodyPr>
                  </wps:wsp>
                </a:graphicData>
              </a:graphic>
            </wp:anchor>
          </w:drawing>
        </mc:Choice>
        <mc:Fallback>
          <w:pict>
            <v:rect id="Rectangle 218" o:spid="_x0000_s1026" o:spt="1" style="position:absolute;left:0pt;margin-left:382pt;margin-top:18.7pt;height:42pt;width:123pt;mso-wrap-distance-bottom:3.6pt;mso-wrap-distance-left:9pt;mso-wrap-distance-right:9pt;mso-wrap-distance-top:3.6pt;z-index:251660288;mso-width-relative:page;mso-height-relative:page;" filled="f" stroked="f" coordsize="21600,21600" o:gfxdata="UEsFBgAAAAAAAAAAAAAAAAAAAAAAAFBLAwQKAAAAAACHTuJAAAAAAAAAAAAAAAAABAAAAGRycy9Q&#10;SwMEFAAAAAgAh07iQCaSzWnWAAAACwEAAA8AAABkcnMvZG93bnJldi54bWxNjz9PwzAQxXckvoN1&#10;SGzUdgkpCnE6IBgYSTswuvGRRNjnKHb659tznWC7u/f07vfq7Tl4ccQ5jZEM6JUCgdRFN1JvYL97&#10;f3gGkbIlZ30kNHDBBNvm9qa2lYsn+sRjm3vBIZQqa2DIeaqkTN2AwaZVnJBY+45zsJnXuZduticO&#10;D16ulSplsCPxh8FO+Dpg99MuwcCE3i2+aNVXJ99m0uXHTl6ejLm/0+oFRMZz/jPDFZ/RoWGmQ1zI&#10;JeENbMqCu2QDj5sCxNWgtOLLgae1LkA2tfzfofkFUEsDBBQAAAAIAIdO4kDTx7mC2gEAAMYDAAAO&#10;AAAAZHJzL2Uyb0RvYy54bWytU9uO0zAQfUfiHyy/0zTddoGo6QpRFSGtoGLhA6aO01jyDY/bZP+e&#10;sZPtluVlH3hJ5uKcOed4sr4bjGZnGVA5W/NyNudMWuEaZY81//Vz9+4DZxjBNqCdlTV/lMjvNm/f&#10;rHtfyYXrnG5kYARisep9zbsYfVUUKDppAGfOS0vN1gUDkdJwLJoAPaEbXSzm89uid6HxwQmJSNXt&#10;2OQTYngNoGtbJeTWiZORNo6oQWqIJAk75ZFvMtu2lSJ+b1uUkemak9KYnzSE4kN6Fps1VMcAvlNi&#10;ogCvofBCkwFlaegFagsR2Cmof6CMEsGha+NMOFOMQrIjpKKcv/DmoQMvsxayGv3FdPx/sOLbeR+Y&#10;amq+KOniLRi68h9kG9ijliwVyaLeY0UnH/w+TBlSmPQObTDpTUrYkG19vNgqh8gEFcvV7aKck+OC&#10;equbmyXFBFM8f+0Dxi/SGZaCmgean92E8z3G8ejTkTTMup3SmupQaftXgTBTpUiER4opisNhmHgf&#10;XPNIgtGLnaJZ94BxD4GuvOSspzWoOf4+QZCc6a+WfP5YLhcr2pucLFfvk4xw3Tlcd8CKztF2Rc7G&#10;8HPMuzZy/HSKrlVZT2I1UpnI0vVmR6ZVTPtznedTz7/f5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WAAAAZHJzL1BLAQIUABQAAAAIAIdO&#10;4kAmks1p1gAAAAsBAAAPAAAAAAAAAAEAIAAAADgAAABkcnMvZG93bnJldi54bWxQSwECFAAUAAAA&#10;CACHTuJA08e5gtoBAADGAwAADgAAAAAAAAABACAAAAA7AQAAZHJzL2Uyb0RvYy54bWxQSwUGAAAA&#10;AAYABgBZAQAAhwUAAAAA&#10;">
              <v:fill on="f" focussize="0,0"/>
              <v:stroke on="f"/>
              <v:imagedata o:title=""/>
              <o:lock v:ext="edit" aspectratio="f"/>
              <v:textbox inset="7.1988188976378pt,3.59842519685039pt,7.1988188976378pt,3.59842519685039pt">
                <w:txbxContent>
                  <w:p>
                    <w:pPr>
                      <w:spacing w:line="258" w:lineRule="auto"/>
                      <w:jc w:val="center"/>
                    </w:pPr>
                    <w:r>
                      <w:rPr>
                        <w:color w:val="70AD47"/>
                        <w:sz w:val="16"/>
                        <w:u w:val="single"/>
                      </w:rPr>
                      <w:t>https://ejournal.poltekkes-smg.ac.id/ojs/index.php/welcomejournal</w:t>
                    </w:r>
                  </w:p>
                </w:txbxContent>
              </v:textbox>
              <w10:wrap type="square"/>
            </v:rect>
          </w:pict>
        </mc:Fallback>
      </mc:AlternateContent>
    </w:r>
  </w:p>
  <w:p>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spacing w:after="0" w:line="240" w:lineRule="auto"/>
      <w:rPr>
        <w:color w:val="000000"/>
      </w:rPr>
    </w:pPr>
  </w:p>
  <w:p>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spacing w:after="0" w:line="240" w:lineRule="auto"/>
      <w:ind w:left="1080"/>
      <w:jc w:val="center"/>
      <w:rPr>
        <w:rFonts w:ascii="Arial" w:hAnsi="Arial" w:eastAsia="Arial" w:cs="Arial"/>
        <w:b/>
        <w:color w:val="000000"/>
        <w:highlight w:val="white"/>
      </w:rPr>
    </w:pPr>
  </w:p>
  <w:p>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spacing w:after="0" w:line="240" w:lineRule="auto"/>
      <w:jc w:val="center"/>
      <w:rPr>
        <w:rFonts w:ascii="Arial" w:hAnsi="Arial" w:eastAsia="Arial" w:cs="Arial"/>
        <w:b/>
        <w:color w:val="000000"/>
        <w:highlight w:val="whit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EB275E"/>
    <w:multiLevelType w:val="multilevel"/>
    <w:tmpl w:val="02EB275E"/>
    <w:lvl w:ilvl="0" w:tentative="0">
      <w:start w:val="1"/>
      <w:numFmt w:val="decimal"/>
      <w:lvlText w:val="%1."/>
      <w:lvlJc w:val="left"/>
      <w:pPr>
        <w:ind w:left="720" w:hanging="360"/>
      </w:pPr>
    </w:lvl>
    <w:lvl w:ilvl="1" w:tentative="0">
      <w:start w:val="1"/>
      <w:numFmt w:val="decimal"/>
      <w:lvlText w:val="%2."/>
      <w:lvlJc w:val="left"/>
      <w:pPr>
        <w:ind w:left="1440" w:hanging="360"/>
      </w:pPr>
    </w:lvl>
    <w:lvl w:ilvl="2" w:tentative="0">
      <w:start w:val="1"/>
      <w:numFmt w:val="decimal"/>
      <w:lvlText w:val="%3."/>
      <w:lvlJc w:val="left"/>
      <w:pPr>
        <w:ind w:left="2160" w:hanging="360"/>
      </w:pPr>
    </w:lvl>
    <w:lvl w:ilvl="3" w:tentative="0">
      <w:start w:val="1"/>
      <w:numFmt w:val="decimal"/>
      <w:lvlText w:val="%4."/>
      <w:lvlJc w:val="left"/>
      <w:pPr>
        <w:ind w:left="2880" w:hanging="360"/>
      </w:pPr>
    </w:lvl>
    <w:lvl w:ilvl="4" w:tentative="0">
      <w:start w:val="1"/>
      <w:numFmt w:val="decimal"/>
      <w:lvlText w:val="%5."/>
      <w:lvlJc w:val="left"/>
      <w:pPr>
        <w:ind w:left="3600" w:hanging="360"/>
      </w:pPr>
    </w:lvl>
    <w:lvl w:ilvl="5" w:tentative="0">
      <w:start w:val="1"/>
      <w:numFmt w:val="decimal"/>
      <w:lvlText w:val="%6."/>
      <w:lvlJc w:val="left"/>
      <w:pPr>
        <w:ind w:left="4320" w:hanging="360"/>
      </w:pPr>
    </w:lvl>
    <w:lvl w:ilvl="6" w:tentative="0">
      <w:start w:val="1"/>
      <w:numFmt w:val="decimal"/>
      <w:lvlText w:val="%7."/>
      <w:lvlJc w:val="left"/>
      <w:pPr>
        <w:ind w:left="5040" w:hanging="360"/>
      </w:pPr>
    </w:lvl>
    <w:lvl w:ilvl="7" w:tentative="0">
      <w:start w:val="1"/>
      <w:numFmt w:val="decimal"/>
      <w:lvlText w:val="%8."/>
      <w:lvlJc w:val="left"/>
      <w:pPr>
        <w:ind w:left="5760" w:hanging="360"/>
      </w:pPr>
    </w:lvl>
    <w:lvl w:ilvl="8" w:tentative="0">
      <w:start w:val="1"/>
      <w:numFmt w:val="decimal"/>
      <w:lvlText w:val="%9."/>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652"/>
    <w:rsid w:val="00012872"/>
    <w:rsid w:val="000A6BCB"/>
    <w:rsid w:val="000D4351"/>
    <w:rsid w:val="000F5333"/>
    <w:rsid w:val="0011055D"/>
    <w:rsid w:val="0011676C"/>
    <w:rsid w:val="0014269E"/>
    <w:rsid w:val="00147403"/>
    <w:rsid w:val="00162DF7"/>
    <w:rsid w:val="002003AB"/>
    <w:rsid w:val="00205890"/>
    <w:rsid w:val="00207313"/>
    <w:rsid w:val="00265226"/>
    <w:rsid w:val="00273887"/>
    <w:rsid w:val="002823A1"/>
    <w:rsid w:val="002C2E55"/>
    <w:rsid w:val="002F20F4"/>
    <w:rsid w:val="003466FF"/>
    <w:rsid w:val="00346735"/>
    <w:rsid w:val="0037110C"/>
    <w:rsid w:val="003712DC"/>
    <w:rsid w:val="003C608B"/>
    <w:rsid w:val="003E1225"/>
    <w:rsid w:val="00471BD7"/>
    <w:rsid w:val="00483640"/>
    <w:rsid w:val="004B6068"/>
    <w:rsid w:val="004B69DB"/>
    <w:rsid w:val="004D3B6A"/>
    <w:rsid w:val="004E4760"/>
    <w:rsid w:val="00506F3C"/>
    <w:rsid w:val="00533B4B"/>
    <w:rsid w:val="005506F1"/>
    <w:rsid w:val="005C5C91"/>
    <w:rsid w:val="005E4743"/>
    <w:rsid w:val="00644739"/>
    <w:rsid w:val="006A1F04"/>
    <w:rsid w:val="006D2877"/>
    <w:rsid w:val="006F2E1F"/>
    <w:rsid w:val="0070503D"/>
    <w:rsid w:val="00742B95"/>
    <w:rsid w:val="007569D4"/>
    <w:rsid w:val="00853019"/>
    <w:rsid w:val="008639D0"/>
    <w:rsid w:val="00867396"/>
    <w:rsid w:val="00876267"/>
    <w:rsid w:val="00890820"/>
    <w:rsid w:val="008A3243"/>
    <w:rsid w:val="008F2983"/>
    <w:rsid w:val="00945652"/>
    <w:rsid w:val="009C5F11"/>
    <w:rsid w:val="009C7B37"/>
    <w:rsid w:val="009D568C"/>
    <w:rsid w:val="00A31F25"/>
    <w:rsid w:val="00A97A94"/>
    <w:rsid w:val="00AB43A5"/>
    <w:rsid w:val="00AF6438"/>
    <w:rsid w:val="00B0024F"/>
    <w:rsid w:val="00BB793F"/>
    <w:rsid w:val="00BD18F0"/>
    <w:rsid w:val="00BF6A32"/>
    <w:rsid w:val="00C3680D"/>
    <w:rsid w:val="00C6382F"/>
    <w:rsid w:val="00C67D94"/>
    <w:rsid w:val="00C97912"/>
    <w:rsid w:val="00CA585E"/>
    <w:rsid w:val="00CA67FC"/>
    <w:rsid w:val="00CE1EC0"/>
    <w:rsid w:val="00CF7A33"/>
    <w:rsid w:val="00CF7C52"/>
    <w:rsid w:val="00D00673"/>
    <w:rsid w:val="00D35294"/>
    <w:rsid w:val="00D429C2"/>
    <w:rsid w:val="00D50C23"/>
    <w:rsid w:val="00D91E58"/>
    <w:rsid w:val="00DA1128"/>
    <w:rsid w:val="00E01687"/>
    <w:rsid w:val="00E12EC5"/>
    <w:rsid w:val="00E14A31"/>
    <w:rsid w:val="00E44DDC"/>
    <w:rsid w:val="00E6299C"/>
    <w:rsid w:val="00E67CC6"/>
    <w:rsid w:val="00E74A37"/>
    <w:rsid w:val="00EA1FDC"/>
    <w:rsid w:val="00EE1584"/>
    <w:rsid w:val="00EE175F"/>
    <w:rsid w:val="00F36FC4"/>
    <w:rsid w:val="00F675A3"/>
    <w:rsid w:val="FE55A90A"/>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Calibri" w:cs="Calibri"/>
      <w:sz w:val="22"/>
      <w:szCs w:val="22"/>
      <w:lang w:val="en-US" w:eastAsia="zh-CN" w:bidi="ar-SA"/>
    </w:rPr>
  </w:style>
  <w:style w:type="paragraph" w:styleId="2">
    <w:name w:val="heading 1"/>
    <w:basedOn w:val="1"/>
    <w:next w:val="1"/>
    <w:qFormat/>
    <w:uiPriority w:val="9"/>
    <w:pPr>
      <w:keepNext/>
      <w:keepLines/>
      <w:spacing w:before="480" w:after="120"/>
      <w:outlineLvl w:val="0"/>
    </w:pPr>
    <w:rPr>
      <w:b/>
      <w:sz w:val="48"/>
      <w:szCs w:val="48"/>
    </w:rPr>
  </w:style>
  <w:style w:type="paragraph" w:styleId="3">
    <w:name w:val="heading 2"/>
    <w:basedOn w:val="1"/>
    <w:next w:val="1"/>
    <w:unhideWhenUsed/>
    <w:qFormat/>
    <w:uiPriority w:val="9"/>
    <w:pPr>
      <w:keepNext/>
      <w:keepLines/>
      <w:spacing w:before="360" w:after="80"/>
      <w:outlineLvl w:val="1"/>
    </w:pPr>
    <w:rPr>
      <w:b/>
      <w:sz w:val="36"/>
      <w:szCs w:val="36"/>
    </w:rPr>
  </w:style>
  <w:style w:type="paragraph" w:styleId="4">
    <w:name w:val="heading 3"/>
    <w:basedOn w:val="1"/>
    <w:next w:val="1"/>
    <w:semiHidden/>
    <w:unhideWhenUsed/>
    <w:qFormat/>
    <w:uiPriority w:val="9"/>
    <w:pPr>
      <w:keepNext/>
      <w:keepLines/>
      <w:spacing w:before="280" w:after="80"/>
      <w:outlineLvl w:val="2"/>
    </w:pPr>
    <w:rPr>
      <w:b/>
      <w:sz w:val="28"/>
      <w:szCs w:val="28"/>
    </w:rPr>
  </w:style>
  <w:style w:type="paragraph" w:styleId="5">
    <w:name w:val="heading 4"/>
    <w:basedOn w:val="1"/>
    <w:next w:val="1"/>
    <w:semiHidden/>
    <w:unhideWhenUsed/>
    <w:qFormat/>
    <w:uiPriority w:val="9"/>
    <w:pPr>
      <w:keepNext/>
      <w:keepLines/>
      <w:spacing w:before="240" w:after="40"/>
      <w:outlineLvl w:val="3"/>
    </w:pPr>
    <w:rPr>
      <w:b/>
      <w:sz w:val="24"/>
      <w:szCs w:val="24"/>
    </w:rPr>
  </w:style>
  <w:style w:type="paragraph" w:styleId="6">
    <w:name w:val="heading 5"/>
    <w:basedOn w:val="1"/>
    <w:next w:val="1"/>
    <w:semiHidden/>
    <w:unhideWhenUsed/>
    <w:qFormat/>
    <w:uiPriority w:val="9"/>
    <w:pPr>
      <w:keepNext/>
      <w:keepLines/>
      <w:spacing w:before="220" w:after="40"/>
      <w:outlineLvl w:val="4"/>
    </w:pPr>
    <w:rPr>
      <w:b/>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alloon Text"/>
    <w:basedOn w:val="1"/>
    <w:link w:val="22"/>
    <w:semiHidden/>
    <w:unhideWhenUsed/>
    <w:uiPriority w:val="99"/>
    <w:pPr>
      <w:spacing w:after="0" w:line="240" w:lineRule="auto"/>
    </w:pPr>
    <w:rPr>
      <w:rFonts w:ascii="Tahoma" w:hAnsi="Tahoma" w:cs="Tahoma"/>
      <w:sz w:val="16"/>
      <w:szCs w:val="16"/>
    </w:rPr>
  </w:style>
  <w:style w:type="paragraph" w:styleId="11">
    <w:name w:val="Body Text"/>
    <w:basedOn w:val="1"/>
    <w:link w:val="25"/>
    <w:unhideWhenUsed/>
    <w:qFormat/>
    <w:uiPriority w:val="1"/>
    <w:pPr>
      <w:widowControl w:val="0"/>
      <w:autoSpaceDE w:val="0"/>
      <w:autoSpaceDN w:val="0"/>
      <w:spacing w:after="0" w:line="240" w:lineRule="auto"/>
    </w:pPr>
    <w:rPr>
      <w:rFonts w:ascii="Times New Roman" w:hAnsi="Times New Roman" w:eastAsia="Times New Roman" w:cs="Times New Roman"/>
      <w:sz w:val="24"/>
      <w:szCs w:val="24"/>
      <w:lang w:val="zh-CN" w:eastAsia="en-US"/>
    </w:rPr>
  </w:style>
  <w:style w:type="paragraph" w:styleId="12">
    <w:name w:val="footer"/>
    <w:basedOn w:val="1"/>
    <w:link w:val="21"/>
    <w:unhideWhenUsed/>
    <w:uiPriority w:val="99"/>
    <w:pPr>
      <w:tabs>
        <w:tab w:val="center" w:pos="4680"/>
        <w:tab w:val="right" w:pos="9360"/>
      </w:tabs>
      <w:spacing w:after="0" w:line="240" w:lineRule="auto"/>
    </w:pPr>
  </w:style>
  <w:style w:type="paragraph" w:styleId="13">
    <w:name w:val="header"/>
    <w:basedOn w:val="1"/>
    <w:link w:val="20"/>
    <w:unhideWhenUsed/>
    <w:uiPriority w:val="99"/>
    <w:pPr>
      <w:tabs>
        <w:tab w:val="center" w:pos="4680"/>
        <w:tab w:val="right" w:pos="9360"/>
      </w:tabs>
      <w:spacing w:after="0" w:line="240" w:lineRule="auto"/>
    </w:pPr>
  </w:style>
  <w:style w:type="character" w:styleId="14">
    <w:name w:val="Hyperlink"/>
    <w:uiPriority w:val="99"/>
    <w:rPr>
      <w:color w:val="0000FF"/>
      <w:u w:val="single"/>
    </w:rPr>
  </w:style>
  <w:style w:type="paragraph" w:styleId="15">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6">
    <w:name w:val="Strong"/>
    <w:basedOn w:val="8"/>
    <w:qFormat/>
    <w:uiPriority w:val="22"/>
    <w:rPr>
      <w:b/>
      <w:bCs/>
    </w:rPr>
  </w:style>
  <w:style w:type="paragraph" w:styleId="17">
    <w:name w:val="Subtitle"/>
    <w:basedOn w:val="1"/>
    <w:next w:val="1"/>
    <w:qFormat/>
    <w:uiPriority w:val="11"/>
    <w:pPr>
      <w:keepNext/>
      <w:keepLines/>
      <w:spacing w:before="360" w:after="80"/>
    </w:pPr>
    <w:rPr>
      <w:rFonts w:ascii="Georgia" w:hAnsi="Georgia" w:eastAsia="Georgia" w:cs="Georgia"/>
      <w:i/>
      <w:color w:val="666666"/>
      <w:sz w:val="48"/>
      <w:szCs w:val="48"/>
    </w:rPr>
  </w:style>
  <w:style w:type="table" w:styleId="18">
    <w:name w:val="Table Grid"/>
    <w:basedOn w:val="9"/>
    <w:uiPriority w:val="39"/>
    <w:pPr>
      <w:spacing w:after="0" w:line="240" w:lineRule="auto"/>
    </w:pPr>
    <w:rPr>
      <w:rFonts w:asciiTheme="minorHAnsi" w:hAnsiTheme="minorHAnsi" w:eastAsiaTheme="minorHAnsi" w:cstheme="minorBidi"/>
      <w:lang w:val="zh-CN"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9">
    <w:name w:val="Title"/>
    <w:basedOn w:val="1"/>
    <w:next w:val="1"/>
    <w:qFormat/>
    <w:uiPriority w:val="10"/>
    <w:pPr>
      <w:keepNext/>
      <w:keepLines/>
      <w:spacing w:before="480" w:after="120"/>
    </w:pPr>
    <w:rPr>
      <w:b/>
      <w:sz w:val="72"/>
      <w:szCs w:val="72"/>
    </w:rPr>
  </w:style>
  <w:style w:type="character" w:customStyle="1" w:styleId="20">
    <w:name w:val="Header Char"/>
    <w:basedOn w:val="8"/>
    <w:link w:val="13"/>
    <w:uiPriority w:val="99"/>
  </w:style>
  <w:style w:type="character" w:customStyle="1" w:styleId="21">
    <w:name w:val="Footer Char"/>
    <w:basedOn w:val="8"/>
    <w:link w:val="12"/>
    <w:uiPriority w:val="99"/>
  </w:style>
  <w:style w:type="character" w:customStyle="1" w:styleId="22">
    <w:name w:val="Balloon Text Char"/>
    <w:basedOn w:val="8"/>
    <w:link w:val="10"/>
    <w:semiHidden/>
    <w:uiPriority w:val="99"/>
    <w:rPr>
      <w:rFonts w:ascii="Tahoma" w:hAnsi="Tahoma" w:cs="Tahoma"/>
      <w:sz w:val="16"/>
      <w:szCs w:val="16"/>
    </w:rPr>
  </w:style>
  <w:style w:type="table" w:customStyle="1" w:styleId="23">
    <w:name w:val="_Style 20"/>
    <w:basedOn w:val="9"/>
    <w:uiPriority w:val="0"/>
    <w:tblPr>
      <w:tblCellMar>
        <w:top w:w="15" w:type="dxa"/>
        <w:left w:w="15" w:type="dxa"/>
        <w:bottom w:w="15" w:type="dxa"/>
        <w:right w:w="15" w:type="dxa"/>
      </w:tblCellMar>
    </w:tblPr>
  </w:style>
  <w:style w:type="paragraph" w:styleId="24">
    <w:name w:val="No Spacing"/>
    <w:qFormat/>
    <w:uiPriority w:val="1"/>
    <w:pPr>
      <w:spacing w:after="0" w:line="240" w:lineRule="auto"/>
    </w:pPr>
    <w:rPr>
      <w:rFonts w:asciiTheme="minorHAnsi" w:hAnsiTheme="minorHAnsi" w:eastAsiaTheme="minorHAnsi" w:cstheme="minorBidi"/>
      <w:kern w:val="2"/>
      <w:sz w:val="22"/>
      <w:szCs w:val="22"/>
      <w:lang w:val="zh-CN" w:eastAsia="en-US" w:bidi="ar-SA"/>
      <w14:ligatures w14:val="standardContextual"/>
    </w:rPr>
  </w:style>
  <w:style w:type="character" w:customStyle="1" w:styleId="25">
    <w:name w:val="Body Text Char"/>
    <w:basedOn w:val="8"/>
    <w:link w:val="11"/>
    <w:uiPriority w:val="1"/>
    <w:rPr>
      <w:rFonts w:ascii="Times New Roman" w:hAnsi="Times New Roman" w:eastAsia="Times New Roman" w:cs="Times New Roman"/>
      <w:sz w:val="24"/>
      <w:szCs w:val="24"/>
      <w:lang w:val="zh-CN" w:eastAsia="en-US"/>
    </w:rPr>
  </w:style>
  <w:style w:type="paragraph" w:styleId="26">
    <w:name w:val="List Paragraph"/>
    <w:basedOn w:val="1"/>
    <w:qFormat/>
    <w:uiPriority w:val="34"/>
    <w:pPr>
      <w:widowControl w:val="0"/>
      <w:spacing w:after="0" w:line="240" w:lineRule="auto"/>
      <w:ind w:left="720"/>
      <w:contextualSpacing/>
    </w:pPr>
    <w:rPr>
      <w:rFonts w:ascii="Times New Roman" w:hAnsi="Times New Roman" w:eastAsia="Times New Roman" w:cs="Times New Roman"/>
      <w:lang w:val="id"/>
    </w:rPr>
  </w:style>
  <w:style w:type="paragraph" w:customStyle="1" w:styleId="27">
    <w:name w:val="Default"/>
    <w:link w:val="28"/>
    <w:qFormat/>
    <w:uiPriority w:val="0"/>
    <w:pPr>
      <w:autoSpaceDE w:val="0"/>
      <w:autoSpaceDN w:val="0"/>
      <w:adjustRightInd w:val="0"/>
      <w:spacing w:after="0" w:line="240" w:lineRule="auto"/>
    </w:pPr>
    <w:rPr>
      <w:rFonts w:ascii="Times New Roman" w:hAnsi="Times New Roman" w:cs="Times New Roman" w:eastAsiaTheme="minorEastAsia"/>
      <w:color w:val="000000"/>
      <w:sz w:val="24"/>
      <w:szCs w:val="24"/>
      <w:lang w:val="zh-CN" w:eastAsia="en-US" w:bidi="ar-SA"/>
    </w:rPr>
  </w:style>
  <w:style w:type="character" w:customStyle="1" w:styleId="28">
    <w:name w:val="Default Char"/>
    <w:basedOn w:val="8"/>
    <w:link w:val="27"/>
    <w:uiPriority w:val="0"/>
    <w:rPr>
      <w:rFonts w:ascii="Times New Roman" w:hAnsi="Times New Roman" w:cs="Times New Roman" w:eastAsiaTheme="minorEastAsia"/>
      <w:color w:val="000000"/>
      <w:sz w:val="24"/>
      <w:szCs w:val="24"/>
      <w:lang w:val="zh-CN" w:eastAsia="en-US"/>
    </w:rPr>
  </w:style>
  <w:style w:type="character" w:customStyle="1" w:styleId="29">
    <w:name w:val="Unresolved Mention"/>
    <w:basedOn w:val="8"/>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9.png"/><Relationship Id="rId27" Type="http://schemas.openxmlformats.org/officeDocument/2006/relationships/image" Target="media/image18.jpe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1912</Words>
  <Characters>11227</Characters>
  <Lines>402</Lines>
  <Paragraphs>81</Paragraphs>
  <TotalTime>0</TotalTime>
  <ScaleCrop>false</ScaleCrop>
  <LinksUpToDate>false</LinksUpToDate>
  <CharactersWithSpaces>13069</CharactersWithSpaces>
  <Application>WPS Office_5.7.3.8096_F1E327BC-269C-435d-A152-05C5408002CA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2020-10-06T11:39:00Z</dcterms:created>
  <dc:creator>Samsung</dc:creator>
  <cp:lastModifiedBy>Mega Indah</cp:lastModifiedBy>
  <dcterms:modified xsi:type="dcterms:W3CDTF">2024-08-06T16:44:28Z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6e0ff0b18fe6b43ed4a0501acb2daab1dda285c7f35aa702be5264eb1e27872a</vt:lpwstr>
  </property>
  <property fmtid="{D5CDD505-2E9C-101B-9397-08002B2CF9AE}" pid="3" name="KSOProductBuildVer">
    <vt:lpwstr>1033-5.7.3.8096</vt:lpwstr>
  </property>
</Properties>
</file>