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F31EF" w14:textId="77777777" w:rsidR="00811E46" w:rsidRPr="001D05F5" w:rsidRDefault="00811E46" w:rsidP="00811E46">
      <w:pPr>
        <w:tabs>
          <w:tab w:val="left" w:pos="3969"/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D05F5">
        <w:rPr>
          <w:rFonts w:ascii="Times New Roman" w:hAnsi="Times New Roman" w:cs="Times New Roman"/>
          <w:b/>
        </w:rPr>
        <w:t>Daftar Pustaka</w:t>
      </w:r>
    </w:p>
    <w:p w14:paraId="2844AA35" w14:textId="77777777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</w:p>
    <w:p w14:paraId="6D428E4A" w14:textId="6D1F81BF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[1]</w:t>
      </w:r>
      <w:r w:rsidRPr="001D05F5">
        <w:rPr>
          <w:rFonts w:ascii="Times New Roman" w:hAnsi="Times New Roman" w:cs="Times New Roman"/>
          <w:color w:val="000000" w:themeColor="text1"/>
        </w:rPr>
        <w:tab/>
        <w:t>Who and M. Chan, “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Haemoglobin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concentrations for the diagnosis of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anaemia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and assessment of severity,” Geneva, Switz. World Heal. Organ., pp. 1–6, 2011,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2011.</w:t>
      </w:r>
    </w:p>
    <w:p w14:paraId="6CC1807C" w14:textId="4C7A9966" w:rsidR="002A649B" w:rsidRPr="001D05F5" w:rsidRDefault="002A649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https://apps.who.int/iris/bitstream/handle/10665/85839/WHO_NMH_NHD_MNM_11.1_eng.pdf</w:t>
      </w:r>
    </w:p>
    <w:p w14:paraId="2D59A153" w14:textId="35F49A37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[2]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C.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Mitchinson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, N. Strobel, D.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McAullay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, K. McAuley, R.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Bailie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, and K. M. Edmond, “Anemia in disadvantaged children aged under five years; Quality of care in primary practice,” BMC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Pediatr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., vol. 19, no. 1, pp. 1–11, 2019,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10.1186/s12887-019-1543-2.</w:t>
      </w:r>
    </w:p>
    <w:p w14:paraId="03CCF093" w14:textId="7CE31397" w:rsidR="002A649B" w:rsidRPr="001D05F5" w:rsidRDefault="002A649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https://bmcpediatr.biomedcentral.com/articles/10.1186/s12887-019-1543-2</w:t>
      </w:r>
    </w:p>
    <w:p w14:paraId="628EAB1E" w14:textId="66A4E6E8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[3]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A. Zhao et al., “Prevalence of anemia and its risk factors among children 6-36 months Old in Burma,” Am. J. Trop. Med.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Hyg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., vol. 87, no. 2, pp. 306–311, 2012,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10.4269/ajtmh.2012.11-0660.</w:t>
      </w:r>
    </w:p>
    <w:p w14:paraId="5F3B3D0D" w14:textId="589610DC" w:rsidR="002A649B" w:rsidRPr="001D05F5" w:rsidRDefault="002A649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https://www.ncbi.nlm.nih.gov/pmc/articles/PMC3414569/</w:t>
      </w:r>
    </w:p>
    <w:p w14:paraId="1647800F" w14:textId="49061272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[4]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V. M. Hodges, S. Rainey, T. R. Lappin, and A. P. Maxwell, “Pathophysiology of anemia and erythrocytosis.,” Crit. Rev. Oncol.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Hematol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., vol. 64, no. 2, pp. 139–158, Nov. 2007,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10.1016/j.critrevonc.2007.06.006.</w:t>
      </w:r>
    </w:p>
    <w:p w14:paraId="08FE8C5D" w14:textId="01D9CECC" w:rsidR="00CE263E" w:rsidRPr="001D05F5" w:rsidRDefault="00CE263E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https://www.researchgate.net/publication/6182948_Pathophysiology_of_anemia_and_erythrocytosis</w:t>
      </w:r>
    </w:p>
    <w:p w14:paraId="500870FA" w14:textId="1BDF21CF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[5]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S. Sundararajan and H. Rabe, “Prevention of iron deficiency anemia in infants and toddlers,”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Pediatr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. Res., vol. 89, no. 1, pp. 63–73, 2021,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10.1038/s41390-020-0907-5.</w:t>
      </w:r>
    </w:p>
    <w:p w14:paraId="5A20B06E" w14:textId="1A754CC0" w:rsidR="00CE263E" w:rsidRPr="001D05F5" w:rsidRDefault="00CE263E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https://pubmed.ncbi.nlm.nih.gov/32330927/</w:t>
      </w:r>
    </w:p>
    <w:p w14:paraId="6EE30321" w14:textId="210E2F14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[6]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L. L. S. Da Silva, W. W. Fawzi, and M. A. Cardoso, “Factors associated with anemia in young children in Brazil,”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PLoS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One, vol. 13, no. 9, pp. 1–12, 2018,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10.1371/journal.pone.0204504.</w:t>
      </w:r>
    </w:p>
    <w:p w14:paraId="3830D720" w14:textId="1C7C4A82" w:rsidR="00CE263E" w:rsidRPr="001D05F5" w:rsidRDefault="00CE263E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https://journals.plos.org/plosone/article?id=10.1371/journal.pone.0204504</w:t>
      </w:r>
    </w:p>
    <w:p w14:paraId="15FC00CD" w14:textId="67432348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[7]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J. Zhao, B. Freeman, and M. Li, “Can Mobile Phone Apps Influence People’s Health Behavior Change? An </w:t>
      </w:r>
      <w:proofErr w:type="gramStart"/>
      <w:r w:rsidRPr="001D05F5">
        <w:rPr>
          <w:rFonts w:ascii="Times New Roman" w:hAnsi="Times New Roman" w:cs="Times New Roman"/>
          <w:color w:val="000000" w:themeColor="text1"/>
        </w:rPr>
        <w:t>Evidence  Review</w:t>
      </w:r>
      <w:proofErr w:type="gramEnd"/>
      <w:r w:rsidRPr="001D05F5">
        <w:rPr>
          <w:rFonts w:ascii="Times New Roman" w:hAnsi="Times New Roman" w:cs="Times New Roman"/>
          <w:color w:val="000000" w:themeColor="text1"/>
        </w:rPr>
        <w:t xml:space="preserve">.,” J. Med. Internet Res., vol. 18, no. 11, p. e287, Oct. 2016,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10.2196/jmir.5692.</w:t>
      </w:r>
    </w:p>
    <w:p w14:paraId="15AD7AFE" w14:textId="709E3A2F" w:rsidR="00CE263E" w:rsidRPr="001D05F5" w:rsidRDefault="00CE263E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lastRenderedPageBreak/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https://www.jmir.org/2016/11/e287/</w:t>
      </w:r>
    </w:p>
    <w:p w14:paraId="7FB77D07" w14:textId="6C03A31F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[8]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J. M. Sherry and S. C.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Ratzan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, “Measurement and evaluation outcomes for mHealth communication: don’t we have </w:t>
      </w:r>
      <w:proofErr w:type="gramStart"/>
      <w:r w:rsidRPr="001D05F5">
        <w:rPr>
          <w:rFonts w:ascii="Times New Roman" w:hAnsi="Times New Roman" w:cs="Times New Roman"/>
          <w:color w:val="000000" w:themeColor="text1"/>
        </w:rPr>
        <w:t>an  app</w:t>
      </w:r>
      <w:proofErr w:type="gramEnd"/>
      <w:r w:rsidRPr="001D05F5">
        <w:rPr>
          <w:rFonts w:ascii="Times New Roman" w:hAnsi="Times New Roman" w:cs="Times New Roman"/>
          <w:color w:val="000000" w:themeColor="text1"/>
        </w:rPr>
        <w:t xml:space="preserve"> for that?,” Journal of health communication, vol. 17 Suppl 1. United States, pp. 1–3, 2012,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10.1080/10810730.2012.670563.</w:t>
      </w:r>
    </w:p>
    <w:p w14:paraId="38D6E7D8" w14:textId="2932CAF1" w:rsidR="0052042D" w:rsidRPr="001D05F5" w:rsidRDefault="0052042D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https://hsrc.himmelfarb.gwu.edu/sphhs_global_facpubs/36/</w:t>
      </w:r>
      <w:r w:rsidRPr="001D05F5">
        <w:rPr>
          <w:rFonts w:ascii="Times New Roman" w:hAnsi="Times New Roman" w:cs="Times New Roman"/>
          <w:color w:val="000000" w:themeColor="text1"/>
        </w:rPr>
        <w:t xml:space="preserve"> </w:t>
      </w:r>
    </w:p>
    <w:p w14:paraId="3D447D77" w14:textId="1CA056FF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[9]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N. H. F.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Losong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and M.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Adriani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, “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Perbedaan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Kadar Hemoglobin,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Asupan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Zat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Besi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, dan Zinc pada Balita Stunting dan Non Stunting,”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Amerta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Nutr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., vol. 1, no. 2, p. 117, 2017,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10.20473/</w:t>
      </w:r>
      <w:proofErr w:type="gramStart"/>
      <w:r w:rsidRPr="001D05F5">
        <w:rPr>
          <w:rFonts w:ascii="Times New Roman" w:hAnsi="Times New Roman" w:cs="Times New Roman"/>
          <w:color w:val="000000" w:themeColor="text1"/>
        </w:rPr>
        <w:t>amnt.v</w:t>
      </w:r>
      <w:proofErr w:type="gramEnd"/>
      <w:r w:rsidRPr="001D05F5">
        <w:rPr>
          <w:rFonts w:ascii="Times New Roman" w:hAnsi="Times New Roman" w:cs="Times New Roman"/>
          <w:color w:val="000000" w:themeColor="text1"/>
        </w:rPr>
        <w:t>1i2.6233.</w:t>
      </w:r>
    </w:p>
    <w:p w14:paraId="4E362723" w14:textId="62055A2D" w:rsidR="0052042D" w:rsidRPr="001D05F5" w:rsidRDefault="0052042D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https://e-journal.unair.ac.id/AMNT/article/view/6233</w:t>
      </w:r>
    </w:p>
    <w:p w14:paraId="078E04E4" w14:textId="77777777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[10]</w:t>
      </w:r>
      <w:r w:rsidRPr="001D05F5">
        <w:rPr>
          <w:rFonts w:ascii="Times New Roman" w:hAnsi="Times New Roman" w:cs="Times New Roman"/>
          <w:color w:val="000000" w:themeColor="text1"/>
        </w:rPr>
        <w:tab/>
        <w:t>J. W. Creswell, Qualitative inquiry &amp; research design: Choosing among five approaches, 4th ed. Thousand Oaks, CA: Sage., 2012.</w:t>
      </w:r>
    </w:p>
    <w:p w14:paraId="6E5E5D51" w14:textId="77777777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[11]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S.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Notoadmodjo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Metodologi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Penelitian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Kesehatan. Jakarta: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Rineka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Cipta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, 2012.</w:t>
      </w:r>
    </w:p>
    <w:p w14:paraId="352ED8FF" w14:textId="77777777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[12]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N.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Safaat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Pemrograman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Aplikasi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Mobile Smartphone dan Tablet PC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Berbasis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Android,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Revisi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. Bandung: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Penerbit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Informatika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Bandung, 2012.</w:t>
      </w:r>
    </w:p>
    <w:p w14:paraId="6147901E" w14:textId="02615F2C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[13]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M.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Fiordelli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, N.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Diviani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, and P. J. Schulz, “Mapping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mhealth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research: A decade of evolution,” J. Med. Internet Res., vol. 15, no. 5, 2013,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10.2196/jmir.2430.</w:t>
      </w:r>
    </w:p>
    <w:p w14:paraId="6C8CC0E5" w14:textId="6B80C1CA" w:rsidR="0052042D" w:rsidRPr="001D05F5" w:rsidRDefault="0052042D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https://www.jmir.org/2013/5/e95/</w:t>
      </w:r>
    </w:p>
    <w:p w14:paraId="1170B4CE" w14:textId="45974DFB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[14]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P.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Klasnja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 and W. Pratt, “Healthcare in the pocket: mapping the space of mobile-phone health interventions.,” J. Biomed. Inform., vol. 45, no. 1, pp. 184–198, Feb. 2012,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10.1016/j.jbi.2011.08.017.</w:t>
      </w:r>
    </w:p>
    <w:p w14:paraId="589769BA" w14:textId="02D32204" w:rsidR="0052042D" w:rsidRPr="001D05F5" w:rsidRDefault="0052042D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 xml:space="preserve">URL </w:t>
      </w:r>
      <w:r w:rsidRPr="001D05F5">
        <w:rPr>
          <w:rFonts w:ascii="Times New Roman" w:hAnsi="Times New Roman" w:cs="Times New Roman"/>
          <w:color w:val="000000" w:themeColor="text1"/>
        </w:rPr>
        <w:t>https://www.sciencedirect.com/science/article/pii/S1532046411001444?via%3Dihub</w:t>
      </w:r>
    </w:p>
    <w:p w14:paraId="2BD4F783" w14:textId="77777777" w:rsidR="004D03EB" w:rsidRPr="001D05F5" w:rsidRDefault="004D03EB" w:rsidP="004D03EB">
      <w:pPr>
        <w:rPr>
          <w:rFonts w:ascii="Times New Roman" w:hAnsi="Times New Roman" w:cs="Times New Roman"/>
          <w:color w:val="000000" w:themeColor="text1"/>
        </w:rPr>
      </w:pPr>
      <w:r w:rsidRPr="001D05F5">
        <w:rPr>
          <w:rFonts w:ascii="Times New Roman" w:hAnsi="Times New Roman" w:cs="Times New Roman"/>
          <w:color w:val="000000" w:themeColor="text1"/>
        </w:rPr>
        <w:t>[15]</w:t>
      </w:r>
      <w:r w:rsidRPr="001D05F5">
        <w:rPr>
          <w:rFonts w:ascii="Times New Roman" w:hAnsi="Times New Roman" w:cs="Times New Roman"/>
          <w:color w:val="000000" w:themeColor="text1"/>
        </w:rPr>
        <w:tab/>
        <w:t xml:space="preserve">K. Wilson, K. Atkinson, and S.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Deeks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 xml:space="preserve">, “Opportunities for utilizing new technologies to increase vaccine confidence.,” Expert Rev. Vaccines, vol. 13, no. 8, pp. 969–977, Aug. 2014, </w:t>
      </w:r>
      <w:proofErr w:type="spellStart"/>
      <w:r w:rsidRPr="001D05F5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Pr="001D05F5">
        <w:rPr>
          <w:rFonts w:ascii="Times New Roman" w:hAnsi="Times New Roman" w:cs="Times New Roman"/>
          <w:color w:val="000000" w:themeColor="text1"/>
        </w:rPr>
        <w:t>: 10.1586/14760584.2014.928208.</w:t>
      </w:r>
    </w:p>
    <w:p w14:paraId="20D8CFF1" w14:textId="1FDC4AD4" w:rsidR="005F69FA" w:rsidRPr="001D05F5" w:rsidRDefault="001D05F5" w:rsidP="00811E46">
      <w:pPr>
        <w:rPr>
          <w:rFonts w:ascii="Times New Roman" w:hAnsi="Times New Roman" w:cs="Times New Roman"/>
        </w:rPr>
      </w:pPr>
      <w:r w:rsidRPr="001D05F5">
        <w:rPr>
          <w:rFonts w:ascii="Times New Roman" w:hAnsi="Times New Roman" w:cs="Times New Roman"/>
        </w:rPr>
        <w:t xml:space="preserve">URL </w:t>
      </w:r>
      <w:r w:rsidRPr="001D05F5">
        <w:rPr>
          <w:rFonts w:ascii="Times New Roman" w:hAnsi="Times New Roman" w:cs="Times New Roman"/>
        </w:rPr>
        <w:t>https://www.tandfonline.com/doi/abs/10.1586/14760584.2014.928208</w:t>
      </w:r>
    </w:p>
    <w:sectPr w:rsidR="005F69FA" w:rsidRPr="001D05F5" w:rsidSect="00811E46">
      <w:pgSz w:w="11909" w:h="16834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E46"/>
    <w:rsid w:val="001D05F5"/>
    <w:rsid w:val="002A649B"/>
    <w:rsid w:val="004D03EB"/>
    <w:rsid w:val="0052042D"/>
    <w:rsid w:val="005F69FA"/>
    <w:rsid w:val="00811E46"/>
    <w:rsid w:val="00CE263E"/>
    <w:rsid w:val="00EB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2CF9"/>
  <w15:chartTrackingRefBased/>
  <w15:docId w15:val="{BA679618-F8CC-4879-9777-87E11546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E46"/>
    <w:pPr>
      <w:spacing w:after="200" w:line="276" w:lineRule="auto"/>
    </w:pPr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4</cp:revision>
  <dcterms:created xsi:type="dcterms:W3CDTF">2022-08-11T04:19:00Z</dcterms:created>
  <dcterms:modified xsi:type="dcterms:W3CDTF">2022-08-11T05:43:00Z</dcterms:modified>
</cp:coreProperties>
</file>