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70148" w:rsidRDefault="004828BE">
      <w:pPr>
        <w:pStyle w:val="StyleTitle"/>
        <w:rPr>
          <w:rFonts w:ascii="Cooper Black" w:eastAsia="SimSun" w:hAnsi="Cooper Black" w:hint="default"/>
          <w:b w:val="0"/>
          <w:lang w:eastAsia="id-ID"/>
        </w:rPr>
      </w:pPr>
      <w:bookmarkStart w:id="0" w:name="_GoBack"/>
      <w:bookmarkEnd w:id="0"/>
      <w:r>
        <w:rPr>
          <w:rFonts w:ascii="Book Antiqua" w:eastAsia="SimSun" w:hAnsi="Book Antiqua" w:hint="default"/>
          <w:b w:val="0"/>
          <w:noProof/>
          <w:lang w:eastAsia="en-US"/>
        </w:rPr>
        <w:drawing>
          <wp:anchor distT="0" distB="0" distL="114300" distR="114300" simplePos="0" relativeHeight="251658240" behindDoc="1" locked="0" layoutInCell="1" allowOverlap="1">
            <wp:simplePos x="0" y="0"/>
            <wp:positionH relativeFrom="column">
              <wp:posOffset>3810</wp:posOffset>
            </wp:positionH>
            <wp:positionV relativeFrom="paragraph">
              <wp:posOffset>-385445</wp:posOffset>
            </wp:positionV>
            <wp:extent cx="694055" cy="971550"/>
            <wp:effectExtent l="0" t="0" r="17145" b="19050"/>
            <wp:wrapNone/>
            <wp:docPr id="1" name="Picture 3" descr="JRK SEPT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JRK SEPT 2012"/>
                    <pic:cNvPicPr>
                      <a:picLocks noChangeAspect="1"/>
                    </pic:cNvPicPr>
                  </pic:nvPicPr>
                  <pic:blipFill>
                    <a:blip r:embed="rId8"/>
                    <a:stretch>
                      <a:fillRect/>
                    </a:stretch>
                  </pic:blipFill>
                  <pic:spPr>
                    <a:xfrm>
                      <a:off x="0" y="0"/>
                      <a:ext cx="694055" cy="971550"/>
                    </a:xfrm>
                    <a:prstGeom prst="rect">
                      <a:avLst/>
                    </a:prstGeom>
                    <a:noFill/>
                    <a:ln w="9525">
                      <a:noFill/>
                    </a:ln>
                  </pic:spPr>
                </pic:pic>
              </a:graphicData>
            </a:graphic>
          </wp:anchor>
        </w:drawing>
      </w:r>
      <w:r>
        <w:rPr>
          <w:rFonts w:ascii="Cooper Black" w:eastAsia="SimSun" w:hAnsi="Cooper Black" w:hint="default"/>
          <w:b w:val="0"/>
          <w:lang w:eastAsia="id-ID"/>
        </w:rPr>
        <w:t xml:space="preserve">Jurnal Riset Kesehatan </w:t>
      </w:r>
    </w:p>
    <w:p w:rsidR="00170148" w:rsidRDefault="00170148">
      <w:pPr>
        <w:pStyle w:val="StyleTitle"/>
        <w:rPr>
          <w:rFonts w:ascii="Cooper Black" w:eastAsia="SimSun" w:hAnsi="Cooper Black" w:hint="default"/>
          <w:b w:val="0"/>
          <w:lang w:eastAsia="id-ID"/>
        </w:rPr>
      </w:pPr>
    </w:p>
    <w:p w:rsidR="00170148" w:rsidRDefault="004828BE">
      <w:pPr>
        <w:pStyle w:val="StyleTitle"/>
        <w:pBdr>
          <w:top w:val="none" w:sz="0" w:space="1" w:color="auto"/>
          <w:left w:val="none" w:sz="0" w:space="4" w:color="auto"/>
          <w:bottom w:val="thinThickSmallGap" w:sz="12" w:space="1" w:color="auto"/>
          <w:right w:val="none" w:sz="0" w:space="4" w:color="auto"/>
        </w:pBdr>
        <w:spacing w:line="480" w:lineRule="auto"/>
        <w:rPr>
          <w:rFonts w:ascii="Book Antiqua" w:eastAsia="SimSun" w:hAnsi="Book Antiqua" w:hint="default"/>
          <w:u w:val="double"/>
          <w:lang w:eastAsia="id-ID"/>
        </w:rPr>
      </w:pPr>
      <w:r>
        <w:rPr>
          <w:rFonts w:ascii="Book Antiqua" w:eastAsia="SimSun" w:hAnsi="Book Antiqua" w:hint="default"/>
          <w:b w:val="0"/>
          <w:i/>
          <w:sz w:val="16"/>
          <w:lang w:eastAsia="id-ID"/>
        </w:rPr>
        <w:t>http://ejournal.poltekkes-smg.ac.id/ojs/index.php/jrk</w:t>
      </w:r>
    </w:p>
    <w:p w:rsidR="00170148" w:rsidRDefault="00170148">
      <w:pPr>
        <w:pStyle w:val="StyleTitle"/>
        <w:rPr>
          <w:rFonts w:ascii="Book Antiqua" w:eastAsia="SimSun" w:hAnsi="Book Antiqua" w:hint="default"/>
          <w:lang w:eastAsia="id-ID"/>
        </w:rPr>
      </w:pPr>
    </w:p>
    <w:p w:rsidR="00170148" w:rsidRPr="001243D5" w:rsidRDefault="001243D5">
      <w:pPr>
        <w:pStyle w:val="NormalParagraphStyle"/>
        <w:jc w:val="center"/>
        <w:rPr>
          <w:rFonts w:ascii="Book Antiqua" w:eastAsia="Book Antiqua" w:hAnsi="Book Antiqua" w:hint="default"/>
          <w:b/>
          <w:lang w:eastAsia="id-ID"/>
        </w:rPr>
      </w:pPr>
      <w:r w:rsidRPr="001137EB">
        <w:rPr>
          <w:rFonts w:asciiTheme="majorBidi" w:hAnsiTheme="majorBidi" w:cstheme="majorBidi"/>
          <w:b/>
          <w:szCs w:val="24"/>
        </w:rPr>
        <w:t>PREECLAMPSIA PREVENTION BEHAVIOR WITH EDUCATION USING E-BOOKLET TO IMPROVE KNOWLEDGE IN PREGNANT WOMEN</w:t>
      </w:r>
    </w:p>
    <w:p w:rsidR="00170148" w:rsidRDefault="001243D5">
      <w:pPr>
        <w:jc w:val="center"/>
        <w:outlineLvl w:val="2"/>
        <w:rPr>
          <w:rFonts w:ascii="Book Antiqua" w:hAnsi="Book Antiqua" w:hint="default"/>
          <w:b/>
          <w:sz w:val="20"/>
          <w:lang w:eastAsia="id-ID"/>
        </w:rPr>
      </w:pPr>
      <w:r>
        <w:rPr>
          <w:rFonts w:ascii="Book Antiqua" w:hAnsi="Book Antiqua" w:hint="default"/>
          <w:b/>
          <w:sz w:val="20"/>
          <w:lang w:eastAsia="id-ID"/>
        </w:rPr>
        <w:t>Kurniati Puji Lestari</w:t>
      </w:r>
      <w:r w:rsidR="00480C1D">
        <w:rPr>
          <w:rFonts w:ascii="Book Antiqua" w:hAnsi="Book Antiqua" w:hint="default"/>
          <w:b/>
          <w:sz w:val="20"/>
          <w:vertAlign w:val="superscript"/>
          <w:lang w:eastAsia="id-ID"/>
        </w:rPr>
        <w:t>a</w:t>
      </w:r>
      <w:r>
        <w:rPr>
          <w:rFonts w:ascii="Book Antiqua" w:hAnsi="Book Antiqua" w:hint="default"/>
          <w:b/>
          <w:sz w:val="20"/>
          <w:lang w:eastAsia="id-ID"/>
        </w:rPr>
        <w:t xml:space="preserve"> ; Reni Titis Antika Sari</w:t>
      </w:r>
      <w:r w:rsidR="004828BE">
        <w:rPr>
          <w:rFonts w:ascii="Book Antiqua" w:hAnsi="Book Antiqua" w:hint="default"/>
          <w:b/>
          <w:sz w:val="20"/>
          <w:vertAlign w:val="superscript"/>
          <w:lang w:eastAsia="id-ID"/>
        </w:rPr>
        <w:t>b</w:t>
      </w:r>
      <w:r>
        <w:rPr>
          <w:rFonts w:ascii="Book Antiqua" w:hAnsi="Book Antiqua" w:hint="default"/>
          <w:b/>
          <w:sz w:val="20"/>
          <w:lang w:eastAsia="id-ID"/>
        </w:rPr>
        <w:t xml:space="preserve"> ; Iis Sriningsih</w:t>
      </w:r>
      <w:r w:rsidR="00480C1D">
        <w:rPr>
          <w:rFonts w:ascii="Book Antiqua" w:hAnsi="Book Antiqua" w:hint="default"/>
          <w:b/>
          <w:sz w:val="20"/>
          <w:vertAlign w:val="superscript"/>
          <w:lang w:eastAsia="id-ID"/>
        </w:rPr>
        <w:t>c</w:t>
      </w:r>
      <w:r>
        <w:rPr>
          <w:rFonts w:ascii="Book Antiqua" w:hAnsi="Book Antiqua" w:hint="default"/>
          <w:b/>
          <w:sz w:val="20"/>
          <w:vertAlign w:val="superscript"/>
          <w:lang w:eastAsia="id-ID"/>
        </w:rPr>
        <w:t xml:space="preserve"> </w:t>
      </w:r>
      <w:r>
        <w:rPr>
          <w:rFonts w:ascii="Book Antiqua" w:hAnsi="Book Antiqua" w:hint="default"/>
          <w:b/>
          <w:sz w:val="20"/>
          <w:lang w:eastAsia="id-ID"/>
        </w:rPr>
        <w:t>; Wagiyo</w:t>
      </w:r>
      <w:r>
        <w:rPr>
          <w:rFonts w:ascii="Book Antiqua" w:hAnsi="Book Antiqua" w:hint="default"/>
          <w:b/>
          <w:sz w:val="20"/>
          <w:vertAlign w:val="superscript"/>
          <w:lang w:eastAsia="id-ID"/>
        </w:rPr>
        <w:t>d</w:t>
      </w:r>
      <w:r w:rsidR="004828BE">
        <w:rPr>
          <w:rFonts w:ascii="Book Antiqua" w:hAnsi="Book Antiqua" w:hint="default"/>
          <w:b/>
          <w:sz w:val="20"/>
          <w:lang w:eastAsia="id-ID"/>
        </w:rPr>
        <w:t xml:space="preserve"> </w:t>
      </w:r>
    </w:p>
    <w:p w:rsidR="00170148" w:rsidRDefault="00170148">
      <w:pPr>
        <w:pStyle w:val="NormalParagraphStyle"/>
        <w:jc w:val="center"/>
        <w:rPr>
          <w:rFonts w:ascii="Book Antiqua" w:eastAsia="Book Antiqua" w:hAnsi="Book Antiqua" w:hint="default"/>
          <w:b/>
          <w:sz w:val="20"/>
          <w:vertAlign w:val="superscript"/>
          <w:lang w:eastAsia="id-ID"/>
        </w:rPr>
      </w:pPr>
    </w:p>
    <w:p w:rsidR="001137EB" w:rsidRDefault="004828BE" w:rsidP="001137EB">
      <w:pPr>
        <w:jc w:val="center"/>
        <w:rPr>
          <w:rFonts w:ascii="Book Antiqua" w:hAnsi="Book Antiqua" w:hint="default"/>
          <w:i/>
          <w:sz w:val="20"/>
          <w:lang w:eastAsia="id-ID"/>
        </w:rPr>
      </w:pPr>
      <w:r>
        <w:rPr>
          <w:rFonts w:ascii="Book Antiqua" w:hAnsi="Book Antiqua" w:hint="default"/>
          <w:i/>
          <w:sz w:val="20"/>
          <w:vertAlign w:val="superscript"/>
          <w:lang w:eastAsia="id-ID"/>
        </w:rPr>
        <w:t>a</w:t>
      </w:r>
      <w:r w:rsidR="001243D5">
        <w:rPr>
          <w:rFonts w:ascii="Book Antiqua" w:hAnsi="Book Antiqua" w:hint="default"/>
          <w:i/>
          <w:sz w:val="20"/>
          <w:lang w:eastAsia="id-ID"/>
        </w:rPr>
        <w:t xml:space="preserve"> Kurniati Puji Lestari</w:t>
      </w:r>
      <w:r w:rsidR="001137EB">
        <w:rPr>
          <w:rFonts w:ascii="Book Antiqua" w:hAnsi="Book Antiqua" w:hint="default"/>
          <w:i/>
          <w:sz w:val="20"/>
          <w:lang w:eastAsia="id-ID"/>
        </w:rPr>
        <w:t xml:space="preserve"> ; </w:t>
      </w:r>
      <w:r>
        <w:rPr>
          <w:rFonts w:ascii="Book Antiqua" w:hAnsi="Book Antiqua" w:hint="default"/>
          <w:i/>
          <w:sz w:val="20"/>
          <w:vertAlign w:val="superscript"/>
          <w:lang w:eastAsia="id-ID"/>
        </w:rPr>
        <w:t>b</w:t>
      </w:r>
      <w:r w:rsidR="001243D5">
        <w:rPr>
          <w:rFonts w:ascii="Book Antiqua" w:hAnsi="Book Antiqua" w:hint="default"/>
          <w:i/>
          <w:sz w:val="20"/>
          <w:lang w:eastAsia="id-ID"/>
        </w:rPr>
        <w:t xml:space="preserve"> Reni Titis Antika Sari</w:t>
      </w:r>
      <w:r w:rsidR="001137EB">
        <w:rPr>
          <w:rFonts w:ascii="Book Antiqua" w:hAnsi="Book Antiqua" w:hint="default"/>
          <w:i/>
          <w:sz w:val="20"/>
          <w:lang w:eastAsia="id-ID"/>
        </w:rPr>
        <w:t xml:space="preserve"> ; </w:t>
      </w:r>
      <w:r>
        <w:rPr>
          <w:rFonts w:ascii="Book Antiqua" w:hAnsi="Book Antiqua" w:hint="default"/>
          <w:i/>
          <w:sz w:val="20"/>
          <w:vertAlign w:val="superscript"/>
          <w:lang w:eastAsia="id-ID"/>
        </w:rPr>
        <w:t>c</w:t>
      </w:r>
      <w:r w:rsidR="001243D5">
        <w:rPr>
          <w:rFonts w:ascii="Book Antiqua" w:hAnsi="Book Antiqua" w:hint="default"/>
          <w:i/>
          <w:sz w:val="20"/>
          <w:lang w:eastAsia="id-ID"/>
        </w:rPr>
        <w:t xml:space="preserve"> Iis Sriningsih </w:t>
      </w:r>
      <w:r w:rsidR="001137EB">
        <w:rPr>
          <w:rFonts w:ascii="Book Antiqua" w:hAnsi="Book Antiqua" w:hint="default"/>
          <w:i/>
          <w:sz w:val="20"/>
          <w:lang w:eastAsia="id-ID"/>
        </w:rPr>
        <w:t xml:space="preserve">; </w:t>
      </w:r>
      <w:r w:rsidR="001243D5">
        <w:rPr>
          <w:rFonts w:ascii="Book Antiqua" w:hAnsi="Book Antiqua" w:hint="default"/>
          <w:i/>
          <w:sz w:val="20"/>
          <w:vertAlign w:val="superscript"/>
          <w:lang w:eastAsia="id-ID"/>
        </w:rPr>
        <w:t>d</w:t>
      </w:r>
      <w:r w:rsidR="001243D5">
        <w:rPr>
          <w:rFonts w:ascii="Book Antiqua" w:hAnsi="Book Antiqua" w:hint="default"/>
          <w:i/>
          <w:sz w:val="20"/>
          <w:lang w:eastAsia="id-ID"/>
        </w:rPr>
        <w:t xml:space="preserve"> Wagiyo ; </w:t>
      </w:r>
    </w:p>
    <w:p w:rsidR="001137EB" w:rsidRPr="00FB22DB" w:rsidRDefault="001137EB" w:rsidP="001137EB">
      <w:pPr>
        <w:spacing w:after="0" w:line="240" w:lineRule="auto"/>
        <w:jc w:val="center"/>
        <w:rPr>
          <w:rFonts w:hint="default"/>
          <w:i/>
          <w:sz w:val="20"/>
          <w:vertAlign w:val="superscript"/>
        </w:rPr>
      </w:pPr>
      <w:r w:rsidRPr="00FB22DB">
        <w:rPr>
          <w:i/>
          <w:sz w:val="20"/>
        </w:rPr>
        <w:t>Nursing Department, Health Polytechnic of Minsitry of Health, Semarang, Indonesia</w:t>
      </w:r>
    </w:p>
    <w:p w:rsidR="001137EB" w:rsidRPr="00654CE2" w:rsidRDefault="001137EB" w:rsidP="001137EB">
      <w:pPr>
        <w:spacing w:after="0" w:line="240" w:lineRule="auto"/>
        <w:jc w:val="center"/>
        <w:rPr>
          <w:rFonts w:hint="default"/>
          <w:i/>
          <w:sz w:val="20"/>
          <w:vertAlign w:val="superscript"/>
          <w:lang w:val="en-ID"/>
        </w:rPr>
      </w:pPr>
    </w:p>
    <w:p w:rsidR="001137EB" w:rsidRPr="00654CE2" w:rsidRDefault="001137EB" w:rsidP="001137EB">
      <w:pPr>
        <w:spacing w:line="240" w:lineRule="auto"/>
        <w:jc w:val="center"/>
        <w:rPr>
          <w:rFonts w:hint="default"/>
          <w:color w:val="0000FF" w:themeColor="hyperlink"/>
          <w:sz w:val="20"/>
          <w:u w:val="single"/>
        </w:rPr>
      </w:pPr>
      <w:r w:rsidRPr="00654CE2">
        <w:rPr>
          <w:sz w:val="20"/>
          <w:lang w:val="id-ID"/>
        </w:rPr>
        <w:t>*</w:t>
      </w:r>
      <w:r w:rsidRPr="00654CE2">
        <w:rPr>
          <w:sz w:val="20"/>
        </w:rPr>
        <w:t xml:space="preserve">Email korespondensi: </w:t>
      </w:r>
      <w:hyperlink r:id="rId9" w:history="1">
        <w:r w:rsidRPr="00BA2156">
          <w:rPr>
            <w:rStyle w:val="Hyperlink"/>
            <w:rFonts w:hint="eastAsia"/>
            <w:sz w:val="20"/>
          </w:rPr>
          <w:t>kurniatipujilestari@</w:t>
        </w:r>
      </w:hyperlink>
      <w:r>
        <w:rPr>
          <w:rStyle w:val="Hyperlink"/>
          <w:rFonts w:hint="eastAsia"/>
          <w:sz w:val="20"/>
        </w:rPr>
        <w:t>poltekkes-smg.ac.id</w:t>
      </w:r>
    </w:p>
    <w:p w:rsidR="001243D5" w:rsidRDefault="001243D5">
      <w:pPr>
        <w:jc w:val="center"/>
        <w:rPr>
          <w:rFonts w:ascii="Book Antiqua" w:hAnsi="Book Antiqua" w:hint="default"/>
          <w:i/>
          <w:sz w:val="20"/>
          <w:lang w:eastAsia="id-ID"/>
        </w:rPr>
      </w:pPr>
    </w:p>
    <w:p w:rsidR="00170148" w:rsidRDefault="004828BE">
      <w:pPr>
        <w:pStyle w:val="NormalWeb"/>
        <w:widowControl/>
        <w:spacing w:before="0" w:beforeAutospacing="0" w:after="0" w:afterAutospacing="0"/>
        <w:rPr>
          <w:rFonts w:ascii="Book Antiqua" w:eastAsia="Book Antiqua" w:hAnsi="Book Antiqua" w:hint="default"/>
          <w:b/>
          <w:kern w:val="0"/>
          <w:sz w:val="18"/>
          <w:lang w:val="id-ID"/>
        </w:rPr>
      </w:pPr>
      <w:r>
        <w:rPr>
          <w:rFonts w:ascii="Book Antiqua" w:eastAsia="Book Antiqua" w:hAnsi="Book Antiqua" w:hint="default"/>
          <w:b/>
          <w:kern w:val="0"/>
          <w:sz w:val="18"/>
        </w:rPr>
        <w:t>Abstra</w:t>
      </w:r>
      <w:r>
        <w:rPr>
          <w:rFonts w:ascii="Book Antiqua" w:eastAsia="Book Antiqua" w:hAnsi="Book Antiqua" w:hint="default"/>
          <w:b/>
          <w:kern w:val="0"/>
          <w:sz w:val="18"/>
          <w:lang w:val="id-ID"/>
        </w:rPr>
        <w:t>ct</w:t>
      </w:r>
    </w:p>
    <w:p w:rsidR="00170148" w:rsidRDefault="00170148">
      <w:pPr>
        <w:pStyle w:val="NormalWeb"/>
        <w:widowControl/>
        <w:spacing w:before="0" w:beforeAutospacing="0" w:after="0" w:afterAutospacing="0"/>
        <w:jc w:val="center"/>
        <w:rPr>
          <w:rFonts w:ascii="Book Antiqua" w:eastAsia="Book Antiqua" w:hAnsi="Book Antiqua" w:hint="default"/>
          <w:b/>
          <w:kern w:val="0"/>
          <w:sz w:val="18"/>
          <w:lang w:val="id-ID"/>
        </w:rPr>
      </w:pPr>
    </w:p>
    <w:p w:rsidR="00170148" w:rsidRDefault="00DC1325">
      <w:pPr>
        <w:jc w:val="both"/>
        <w:rPr>
          <w:rFonts w:ascii="Book Antiqua" w:hAnsi="Book Antiqua" w:hint="default"/>
          <w:sz w:val="18"/>
          <w:lang w:eastAsia="id-ID"/>
        </w:rPr>
      </w:pPr>
      <w:r w:rsidRPr="00DC1325">
        <w:rPr>
          <w:rFonts w:ascii="Book Antiqua" w:hAnsi="Book Antiqua" w:hint="default"/>
          <w:sz w:val="18"/>
          <w:szCs w:val="18"/>
        </w:rPr>
        <w:t xml:space="preserve">Preeclampsia is condition dangerous for Mother pregnant so that become problem health main on mother pregnant all over the world which is marked with pressure blood height &gt;140/90 mmHg at age pregnancy after 20 weeks . However , in reality Still Lots Mother pregnant who has not know method prevention preeclampsia . Studies show that knowledge possessed by the mother pregnant will influence behavior said , so that Mother with lack of knowledge tend No do prevention preeclampsia in mothers pregnant . Research This aiming For know connection level knowledge Mother pregnant about preeclampsia to prevention preeclampsia in the Work Area Health Center Padangsari . Type of research This method quantitative with design descriptive correlation with approach </w:t>
      </w:r>
      <w:r w:rsidRPr="00DC1325">
        <w:rPr>
          <w:rFonts w:ascii="Book Antiqua" w:hAnsi="Book Antiqua" w:hint="default"/>
          <w:i/>
          <w:iCs/>
          <w:sz w:val="18"/>
          <w:szCs w:val="18"/>
        </w:rPr>
        <w:t xml:space="preserve">Cross Sectional </w:t>
      </w:r>
      <w:r w:rsidRPr="00DC1325">
        <w:rPr>
          <w:rFonts w:ascii="Book Antiqua" w:hAnsi="Book Antiqua" w:hint="default"/>
          <w:sz w:val="18"/>
          <w:szCs w:val="18"/>
        </w:rPr>
        <w:t xml:space="preserve">. Research carried out in the Work Area Health Center Padangsari City of Semarang. </w:t>
      </w:r>
      <w:r w:rsidRPr="00DC1325">
        <w:rPr>
          <w:rFonts w:ascii="Book Antiqua" w:hAnsi="Book Antiqua" w:hint="default"/>
          <w:sz w:val="18"/>
          <w:szCs w:val="18"/>
          <w:lang w:eastAsia="en-ID"/>
        </w:rPr>
        <w:t xml:space="preserve">Number sample study A total of 55 respondents were selected use non-probability sampling technique , namely purposive sampling. Data analysis using the </w:t>
      </w:r>
      <w:r w:rsidRPr="00DC1325">
        <w:rPr>
          <w:rFonts w:ascii="Book Antiqua" w:hAnsi="Book Antiqua" w:hint="default"/>
          <w:i/>
          <w:iCs/>
          <w:sz w:val="18"/>
          <w:szCs w:val="18"/>
          <w:lang w:eastAsia="en-ID"/>
        </w:rPr>
        <w:t xml:space="preserve">Chi-Square </w:t>
      </w:r>
      <w:r w:rsidRPr="00DC1325">
        <w:rPr>
          <w:rFonts w:ascii="Book Antiqua" w:hAnsi="Book Antiqua" w:hint="default"/>
          <w:sz w:val="18"/>
          <w:szCs w:val="18"/>
          <w:lang w:eastAsia="en-ID"/>
        </w:rPr>
        <w:t>Test . Instruments study use questionnaire level knowledge about preeclampsia and behavior prevention preeclampsia made</w:t>
      </w:r>
      <w:r w:rsidRPr="00DC1325">
        <w:rPr>
          <w:rFonts w:hint="default"/>
          <w:sz w:val="18"/>
          <w:szCs w:val="18"/>
          <w:lang w:eastAsia="en-ID"/>
        </w:rPr>
        <w:t>​</w:t>
      </w:r>
      <w:r w:rsidRPr="00DC1325">
        <w:rPr>
          <w:rFonts w:ascii="Book Antiqua" w:hAnsi="Book Antiqua" w:hint="default"/>
          <w:sz w:val="18"/>
          <w:szCs w:val="18"/>
          <w:lang w:eastAsia="en-ID"/>
        </w:rPr>
        <w:t xml:space="preserve"> by the researcher himself and has been validity and reliability tests were conducted . </w:t>
      </w:r>
      <w:r w:rsidRPr="00DC1325">
        <w:rPr>
          <w:rFonts w:ascii="Book Antiqua" w:hAnsi="Book Antiqua" w:hint="default"/>
          <w:sz w:val="18"/>
          <w:szCs w:val="18"/>
        </w:rPr>
        <w:t xml:space="preserve">Level of knowledge Mother pregnant about preeclampsia show that , more from half Respondent have a level of knowledge Good  as many as 31 respondents (56.4%) and more from half Respondent own behavior positive in do prevention preeclampsia of 32 respondents (58.2%). The results of the statistical test using the </w:t>
      </w:r>
      <w:r w:rsidRPr="00DC1325">
        <w:rPr>
          <w:rFonts w:ascii="Book Antiqua" w:hAnsi="Book Antiqua" w:hint="default"/>
          <w:i/>
          <w:iCs/>
          <w:sz w:val="18"/>
          <w:szCs w:val="18"/>
        </w:rPr>
        <w:t xml:space="preserve">Chi-Square </w:t>
      </w:r>
      <w:r w:rsidRPr="00DC1325">
        <w:rPr>
          <w:rFonts w:ascii="Book Antiqua" w:hAnsi="Book Antiqua" w:hint="default"/>
          <w:sz w:val="18"/>
          <w:szCs w:val="18"/>
        </w:rPr>
        <w:t xml:space="preserve">Test obtained value ( </w:t>
      </w:r>
      <w:r w:rsidRPr="00DC1325">
        <w:rPr>
          <w:rFonts w:ascii="Book Antiqua" w:hAnsi="Book Antiqua" w:hint="default"/>
          <w:i/>
          <w:iCs/>
          <w:sz w:val="18"/>
          <w:szCs w:val="18"/>
        </w:rPr>
        <w:t xml:space="preserve">sig-p </w:t>
      </w:r>
      <w:r w:rsidRPr="00DC1325">
        <w:rPr>
          <w:rFonts w:ascii="Book Antiqua" w:hAnsi="Book Antiqua" w:hint="default"/>
          <w:sz w:val="18"/>
          <w:szCs w:val="18"/>
        </w:rPr>
        <w:t>= 0.000) &lt;α (0.05) then Ho is rejected and Ha is accepted . This means there is significant relationship</w:t>
      </w:r>
      <w:r w:rsidRPr="00DC1325">
        <w:rPr>
          <w:rFonts w:hint="default"/>
          <w:sz w:val="18"/>
          <w:szCs w:val="18"/>
        </w:rPr>
        <w:t>​</w:t>
      </w:r>
      <w:r w:rsidRPr="00DC1325">
        <w:rPr>
          <w:rFonts w:ascii="Book Antiqua" w:hAnsi="Book Antiqua" w:hint="default"/>
          <w:sz w:val="18"/>
          <w:szCs w:val="18"/>
        </w:rPr>
        <w:t xml:space="preserve"> between level knowledge and behavior prevention preeclampsia</w:t>
      </w:r>
      <w:r w:rsidR="004828BE" w:rsidRPr="00DC1325">
        <w:rPr>
          <w:rFonts w:ascii="Book Antiqua" w:hAnsi="Book Antiqua" w:hint="default"/>
          <w:sz w:val="18"/>
          <w:szCs w:val="18"/>
          <w:lang w:eastAsia="id-ID"/>
        </w:rPr>
        <w:t xml:space="preserve">. </w:t>
      </w:r>
    </w:p>
    <w:p w:rsidR="00170148" w:rsidRDefault="00170148">
      <w:pPr>
        <w:jc w:val="both"/>
        <w:rPr>
          <w:rFonts w:ascii="Book Antiqua" w:hAnsi="Book Antiqua" w:hint="default"/>
          <w:sz w:val="18"/>
          <w:lang w:eastAsia="id-ID"/>
        </w:rPr>
      </w:pPr>
    </w:p>
    <w:p w:rsidR="00DC1325" w:rsidRDefault="004828BE" w:rsidP="00DC1325">
      <w:pPr>
        <w:jc w:val="both"/>
        <w:rPr>
          <w:rFonts w:hint="default"/>
        </w:rPr>
      </w:pPr>
      <w:r>
        <w:rPr>
          <w:rFonts w:ascii="Book Antiqua" w:hAnsi="Book Antiqua" w:hint="default"/>
          <w:b/>
          <w:sz w:val="18"/>
          <w:lang w:eastAsia="id-ID"/>
        </w:rPr>
        <w:t>Keywords:</w:t>
      </w:r>
      <w:r>
        <w:rPr>
          <w:rFonts w:ascii="Book Antiqua" w:hAnsi="Book Antiqua" w:hint="default"/>
          <w:sz w:val="18"/>
          <w:lang w:eastAsia="id-ID"/>
        </w:rPr>
        <w:t xml:space="preserve"> </w:t>
      </w:r>
      <w:r w:rsidR="00DC1325" w:rsidRPr="00DC1325">
        <w:rPr>
          <w:rFonts w:ascii="Book Antiqua" w:hAnsi="Book Antiqua" w:hint="default"/>
          <w:sz w:val="18"/>
          <w:szCs w:val="18"/>
        </w:rPr>
        <w:t>Knowledge ; Prevention ; Preeclampsia ; Pregnant women</w:t>
      </w:r>
    </w:p>
    <w:p w:rsidR="00170148" w:rsidRDefault="00170148">
      <w:pPr>
        <w:jc w:val="both"/>
        <w:rPr>
          <w:rFonts w:ascii="Book Antiqua" w:hAnsi="Book Antiqua" w:hint="default"/>
          <w:i/>
          <w:sz w:val="18"/>
          <w:lang w:eastAsia="id-ID"/>
        </w:rPr>
      </w:pPr>
    </w:p>
    <w:p w:rsidR="00170148" w:rsidRDefault="00170148">
      <w:pPr>
        <w:jc w:val="both"/>
        <w:rPr>
          <w:rFonts w:ascii="Book Antiqua" w:hAnsi="Book Antiqua" w:hint="default"/>
          <w:i/>
          <w:sz w:val="20"/>
          <w:lang w:eastAsia="id-ID"/>
        </w:rPr>
      </w:pPr>
    </w:p>
    <w:p w:rsidR="00170148" w:rsidRDefault="00170148">
      <w:pPr>
        <w:rPr>
          <w:rFonts w:ascii="Book Antiqua" w:eastAsia="Book Antiqua" w:hAnsi="Book Antiqua" w:hint="default"/>
          <w:b/>
          <w:color w:val="000000"/>
          <w:sz w:val="22"/>
        </w:rPr>
        <w:sectPr w:rsidR="00170148">
          <w:headerReference w:type="default" r:id="rId10"/>
          <w:footerReference w:type="default" r:id="rId11"/>
          <w:type w:val="continuous"/>
          <w:pgSz w:w="11850" w:h="16783"/>
          <w:pgMar w:top="1701" w:right="1984" w:bottom="1134" w:left="1984" w:header="708" w:footer="709" w:gutter="0"/>
          <w:pgNumType w:start="1"/>
          <w:cols w:space="720"/>
          <w:docGrid w:linePitch="287"/>
        </w:sectPr>
      </w:pPr>
    </w:p>
    <w:p w:rsidR="00C0293E" w:rsidRPr="00C0293E" w:rsidRDefault="004828BE" w:rsidP="004A359D">
      <w:pPr>
        <w:pStyle w:val="NormalWeb"/>
        <w:widowControl/>
        <w:numPr>
          <w:ilvl w:val="0"/>
          <w:numId w:val="1"/>
        </w:numPr>
        <w:spacing w:before="0" w:beforeAutospacing="0" w:after="0" w:afterAutospacing="0" w:line="360" w:lineRule="auto"/>
        <w:ind w:leftChars="-91" w:left="0" w:hangingChars="109" w:hanging="218"/>
        <w:jc w:val="both"/>
        <w:rPr>
          <w:rFonts w:ascii="Book Antiqua" w:eastAsia="Book Antiqua" w:hAnsi="Book Antiqua" w:hint="default"/>
          <w:b/>
          <w:color w:val="000000"/>
          <w:kern w:val="0"/>
          <w:sz w:val="20"/>
          <w:lang w:val="id-ID"/>
        </w:rPr>
      </w:pPr>
      <w:r>
        <w:rPr>
          <w:rFonts w:ascii="Book Antiqua" w:eastAsia="Book Antiqua" w:hAnsi="Book Antiqua" w:hint="default"/>
          <w:b/>
          <w:color w:val="000000"/>
          <w:kern w:val="0"/>
          <w:sz w:val="20"/>
          <w:lang w:val="id-ID"/>
        </w:rPr>
        <w:t xml:space="preserve">Introduction </w:t>
      </w:r>
    </w:p>
    <w:p w:rsidR="005C7CC6" w:rsidRPr="005C7CC6" w:rsidRDefault="005C7CC6" w:rsidP="005C7CC6">
      <w:pPr>
        <w:spacing w:after="0" w:line="360" w:lineRule="auto"/>
        <w:ind w:firstLine="420"/>
        <w:jc w:val="both"/>
        <w:rPr>
          <w:rFonts w:ascii="Book Antiqua" w:hAnsi="Book Antiqua" w:hint="default"/>
          <w:sz w:val="20"/>
          <w:szCs w:val="24"/>
        </w:rPr>
      </w:pPr>
      <w:r w:rsidRPr="005C7CC6">
        <w:rPr>
          <w:rFonts w:ascii="Book Antiqua" w:hAnsi="Book Antiqua" w:hint="default"/>
          <w:sz w:val="20"/>
          <w:szCs w:val="24"/>
        </w:rPr>
        <w:t xml:space="preserve">Preeclampsia is a dangerous condition for pregnant women and is a major health problem </w:t>
      </w:r>
      <w:r w:rsidRPr="005C7CC6">
        <w:rPr>
          <w:rFonts w:ascii="Book Antiqua" w:hAnsi="Book Antiqua" w:hint="default"/>
          <w:sz w:val="20"/>
          <w:szCs w:val="24"/>
        </w:rPr>
        <w:t xml:space="preserve">for pregnant women worldwide, characterized by high blood pressure &gt;140/90 mmHg at a gestational age of 20 weeks. If this condition is not </w:t>
      </w:r>
      <w:r w:rsidRPr="005C7CC6">
        <w:rPr>
          <w:rFonts w:ascii="Book Antiqua" w:hAnsi="Book Antiqua" w:hint="default"/>
          <w:sz w:val="20"/>
          <w:szCs w:val="24"/>
        </w:rPr>
        <w:lastRenderedPageBreak/>
        <w:t xml:space="preserve">treated immediately, it can endanger the safety of the mother and fetus </w:t>
      </w:r>
      <w:r w:rsidRPr="005C7CC6">
        <w:rPr>
          <w:rFonts w:ascii="Book Antiqua" w:hAnsi="Book Antiqua" w:hint="default"/>
          <w:sz w:val="20"/>
          <w:szCs w:val="24"/>
        </w:rPr>
        <w:fldChar w:fldCharType="begin" w:fldLock="1"/>
      </w:r>
      <w:r w:rsidRPr="005C7CC6">
        <w:rPr>
          <w:rFonts w:ascii="Book Antiqua" w:hAnsi="Book Antiqua" w:hint="default"/>
          <w:sz w:val="20"/>
          <w:szCs w:val="24"/>
        </w:rPr>
        <w:instrText>ADDIN CSL_CITATION {"citationItems":[{"id":"ITEM-1","itemData":{"abstract":"Tekanan darah yang tinggi pada usia kehamilan 20 minggu menjadi petunjuk awal adanya preeklampsia. Jika tidak segera ditangani dapat membahayakan ibu dan bayi. Preeklampsia merupakan salah satu penyebab angka kematian ibu dan janin, dengan angka kejadian yang cukup tinggi. Namun, pada kenyataannya masih banyak ibu hamil yang belum mengetahui cara pencegahan preeklampsia. Tujuan penelitian ini adalah menganalisis Hubungan Antara Pengetahuan Dengan Perilaku Pencegahan Preeklampsia Pada Ibu Hamil Di Desa Cukir Dan Desa Kedawong Kecamatan Diwek Kabupten Jombang. Penelitian ini metode analitik dengan pendekatan cross sectional populasinya seluruh ibu hamil TM I dan TM II di Desa Cukir dan Desa Kedawong Kecamatan Diwek Kabupaten Jombang provinsi jawa timur sebanyak 34 responden. Sampling Non Probility sampling jenis total sampling , variabel independen dalam penelitian ini adalah pengetahuan ibu tentang pencegahan preeklampsia, variabel dependennya adalah perilaku pencegahan preeklampsia pada ibu hamil. Instrument penelitian menggunakan kuesioner dengan pengolahan data menggunakan editing, scoring,coding, tabulating uji statistik menggunakan spearmen rank . Hasil penelitian menunjukan bahwa hampir setengah responden memiliki pengetahuan kurang dalam pencegahan preeklampsia pada ibu hamil sebanyak 14 responden (41,2 %), cukup 11 responden (32,3%) dan baik 9 responden (26,5%) dan perilaku negatif ibu melakukan pencegahan preeklampsia sebanyak 19 responden (55,9%), perilaku positif sebanyak 15 responden (44,1%). Hasil spearman’s rho didapat nilai signifikan r(0,001) &lt;a (0,05), yang berarti H1 di terima.Kesimpulan dalam penelitian ini yaitu ada hubungan pengetahuan dengan perilaku pencegahan preeklampsia pada ibu hamil di Desa Cukir dan Desa Kedawong Kecamatan Diwek Kabupaten Jombang. Kata K unci : Pengetahuan, Pencegahan , Preeklampsia Ibu Hamil","author":[{"dropping-particle":"","family":"Usnaini","given":"Siti","non-dropping-particle":"","parse-names":false,"suffix":""},{"dropping-particle":"","family":"Nurmayanti","given":"Irma","non-dropping-particle":"","parse-names":false,"suffix":""},{"dropping-particle":"","family":"Mustika","given":"Nining","non-dropping-particle":"","parse-names":false,"suffix":""}],"container-title":"Midwifery Journal of STIKes Insan Cendekia Medika Jombang","id":"ITEM-1","issue":"1","issued":{"date-parts":[["2020"]]},"page":"61-69","title":"Hubungan Pengetahuan Dengan Perilaku Pencegahan Preeklampsia Pada Ibu Hamil","type":"article-journal","volume":"12"},"uris":["http://www.mendeley.com/documents/?uuid=f3e39925-c70b-493f-8326-ab3624dff9e4"]}],"mendeley":{"formattedCitation":"(Usnaini et al., 2020)","plainTextFormattedCitation":"(Usnaini et al., 2020)","previouslyFormattedCitation":"(Usnaini et al., 2020)"},"properties":{"noteIndex":0},"schema":"https://github.com/citation-style-language/schema/raw/master/csl-citation.json"}</w:instrText>
      </w:r>
      <w:r w:rsidRPr="005C7CC6">
        <w:rPr>
          <w:rFonts w:ascii="Book Antiqua" w:hAnsi="Book Antiqua" w:hint="default"/>
          <w:sz w:val="20"/>
          <w:szCs w:val="24"/>
        </w:rPr>
        <w:fldChar w:fldCharType="separate"/>
      </w:r>
      <w:r w:rsidRPr="005C7CC6">
        <w:rPr>
          <w:rFonts w:ascii="Book Antiqua" w:hAnsi="Book Antiqua" w:hint="default"/>
          <w:noProof/>
          <w:sz w:val="20"/>
          <w:szCs w:val="24"/>
        </w:rPr>
        <w:t xml:space="preserve">(Usnaini et al., 2020) </w:t>
      </w:r>
      <w:r w:rsidRPr="005C7CC6">
        <w:rPr>
          <w:rFonts w:ascii="Book Antiqua" w:hAnsi="Book Antiqua" w:hint="default"/>
          <w:sz w:val="20"/>
          <w:szCs w:val="24"/>
        </w:rPr>
        <w:fldChar w:fldCharType="end"/>
      </w:r>
      <w:r w:rsidRPr="005C7CC6">
        <w:rPr>
          <w:rFonts w:ascii="Book Antiqua" w:hAnsi="Book Antiqua" w:hint="default"/>
          <w:sz w:val="20"/>
          <w:szCs w:val="24"/>
        </w:rPr>
        <w:t xml:space="preserve">. The prevalence of preeclampsia cases in Central Java Province has increased every year from 2020 by 25.5%, 2021 by 28.6% and in 2022 by 36.4% </w:t>
      </w:r>
      <w:r w:rsidRPr="005C7CC6">
        <w:rPr>
          <w:rFonts w:ascii="Book Antiqua" w:hAnsi="Book Antiqua" w:hint="default"/>
          <w:sz w:val="20"/>
          <w:szCs w:val="24"/>
        </w:rPr>
        <w:fldChar w:fldCharType="begin" w:fldLock="1"/>
      </w:r>
      <w:r w:rsidRPr="005C7CC6">
        <w:rPr>
          <w:rFonts w:ascii="Book Antiqua" w:hAnsi="Book Antiqua" w:hint="default"/>
          <w:sz w:val="20"/>
          <w:szCs w:val="24"/>
        </w:rPr>
        <w:instrText>ADDIN CSL_CITATION {"citationItems":[{"id":"ITEM-1","itemData":{"ISBN":"9785984520973","abstract":"Que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salud.","author":[{"dropping-particle":"","family":"Dinkes Jawa Tengah","given":"","non-dropping-particle":"","parse-names":false,"suffix":""}],"id":"ITEM-1","issued":{"date-parts":[["2022"]]},"page":"32","title":"Profil Kesehatan Provinsi Jawa Tengah Tahun 2022","type":"article-journal"},"uris":["http://www.mendeley.com/documents/?uuid=be038935-228e-4585-854b-1e109eb63748"]}],"mendeley":{"formattedCitation":"(Dinkes Jawa Tengah, 2022)","manualFormatting":"(Dinkes Jawa Tengah, 2022)","plainTextFormattedCitation":"(Dinkes Jawa Tengah, 2022)","previouslyFormattedCitation":"(Dinkes Jawa Tengah, 2022)"},"properties":{"noteIndex":0},"schema":"https://github.com/citation-style-language/schema/raw/master/csl-citation.json"}</w:instrText>
      </w:r>
      <w:r w:rsidRPr="005C7CC6">
        <w:rPr>
          <w:rFonts w:ascii="Book Antiqua" w:hAnsi="Book Antiqua" w:hint="default"/>
          <w:sz w:val="20"/>
          <w:szCs w:val="24"/>
        </w:rPr>
        <w:fldChar w:fldCharType="separate"/>
      </w:r>
      <w:r w:rsidRPr="005C7CC6">
        <w:rPr>
          <w:rFonts w:ascii="Book Antiqua" w:hAnsi="Book Antiqua" w:hint="default"/>
          <w:noProof/>
          <w:sz w:val="20"/>
          <w:szCs w:val="24"/>
        </w:rPr>
        <w:t xml:space="preserve">(Central Java Health Office, 2022) </w:t>
      </w:r>
      <w:r w:rsidRPr="005C7CC6">
        <w:rPr>
          <w:rFonts w:ascii="Book Antiqua" w:hAnsi="Book Antiqua" w:hint="default"/>
          <w:sz w:val="20"/>
          <w:szCs w:val="24"/>
        </w:rPr>
        <w:fldChar w:fldCharType="end"/>
      </w:r>
      <w:r w:rsidRPr="005C7CC6">
        <w:rPr>
          <w:rFonts w:ascii="Book Antiqua" w:hAnsi="Book Antiqua" w:hint="default"/>
          <w:sz w:val="20"/>
          <w:szCs w:val="24"/>
        </w:rPr>
        <w:t xml:space="preserve">. The number of pregnant women with preeclampsia in Semarang City in 2020 reached 253, in 2021 it reached 383 and in 2022 it reached 412 pregnant women with preeclampsia </w:t>
      </w:r>
      <w:r w:rsidRPr="005C7CC6">
        <w:rPr>
          <w:rFonts w:ascii="Book Antiqua" w:hAnsi="Book Antiqua" w:hint="default"/>
          <w:sz w:val="20"/>
          <w:szCs w:val="24"/>
        </w:rPr>
        <w:fldChar w:fldCharType="begin" w:fldLock="1"/>
      </w:r>
      <w:r w:rsidRPr="005C7CC6">
        <w:rPr>
          <w:rFonts w:ascii="Book Antiqua" w:hAnsi="Book Antiqua" w:hint="default"/>
          <w:sz w:val="20"/>
          <w:szCs w:val="24"/>
        </w:rPr>
        <w:instrText>ADDIN CSL_CITATION {"citationItems":[{"id":"ITEM-1","itemData":{"abstract":"Kesehatan merupakan salah satu komponen utama dalam Index Pembangunan Manusia (IPM) yang dapat mendukung terciptanya SDM yang sehat, cerdas, terampil dan ahli menuju keberhasilan pembangunan kesehatan. Pembangunan kesehatan merupakan salah satu hak dasar masyarakat yaitu hak untuk memperoleh pelayanan kesehatan. Oleh sebab itu dalam pelaksanaan pembangunan kesehatan telah dilakukan perubahan cara pandang (mindset) dari paradigma sakit menuju paradigma sehat sejalan dengan Visi Indonesia Sehat. Seiring dengan visi tersebut, maka Visi Pembangunan Kesehatan di Kota Semarang adalah “Terwujudnya Masyarakat Kota Semarang yang Mandiri untuk Hidup Sehat”","author":[{"dropping-particle":"","family":"Dinkes Semarang","given":"","non-dropping-particle":"","parse-names":false,"suffix":""}],"container-title":"Dinas Kesehatan Kota Semarang","id":"ITEM-1","issued":{"date-parts":[["2022"]]},"page":"30","title":"Profil Kesehatan Kota Semarang 2022","type":"article-journal"},"uris":["http://www.mendeley.com/documents/?uuid=e2195513-4201-4f4e-9c51-40511e6c88ca"]}],"mendeley":{"formattedCitation":"(Dinkes Semarang, 2022)","plainTextFormattedCitation":"(Dinkes Semarang, 2022)","previouslyFormattedCitation":"(Dinkes Semarang, 2022)"},"properties":{"noteIndex":0},"schema":"https://github.com/citation-style-language/schema/raw/master/csl-citation.json"}</w:instrText>
      </w:r>
      <w:r w:rsidRPr="005C7CC6">
        <w:rPr>
          <w:rFonts w:ascii="Book Antiqua" w:hAnsi="Book Antiqua" w:hint="default"/>
          <w:sz w:val="20"/>
          <w:szCs w:val="24"/>
        </w:rPr>
        <w:fldChar w:fldCharType="separate"/>
      </w:r>
      <w:r w:rsidRPr="005C7CC6">
        <w:rPr>
          <w:rFonts w:ascii="Book Antiqua" w:hAnsi="Book Antiqua" w:hint="default"/>
          <w:noProof/>
          <w:sz w:val="20"/>
          <w:szCs w:val="24"/>
        </w:rPr>
        <w:t xml:space="preserve">(Semarang Health Office, 2022) </w:t>
      </w:r>
      <w:r w:rsidRPr="005C7CC6">
        <w:rPr>
          <w:rFonts w:ascii="Book Antiqua" w:hAnsi="Book Antiqua" w:hint="default"/>
          <w:sz w:val="20"/>
          <w:szCs w:val="24"/>
        </w:rPr>
        <w:fldChar w:fldCharType="end"/>
      </w:r>
      <w:r w:rsidRPr="005C7CC6">
        <w:rPr>
          <w:rFonts w:ascii="Book Antiqua" w:hAnsi="Book Antiqua" w:hint="default"/>
          <w:sz w:val="20"/>
          <w:szCs w:val="24"/>
        </w:rPr>
        <w:t>.</w:t>
      </w:r>
    </w:p>
    <w:p w:rsidR="005C7CC6" w:rsidRPr="005C7CC6" w:rsidRDefault="005C7CC6" w:rsidP="005C7CC6">
      <w:pPr>
        <w:spacing w:after="0" w:line="360" w:lineRule="auto"/>
        <w:ind w:firstLine="420"/>
        <w:jc w:val="both"/>
        <w:rPr>
          <w:rFonts w:ascii="Book Antiqua" w:hAnsi="Book Antiqua" w:hint="default"/>
          <w:sz w:val="20"/>
          <w:szCs w:val="24"/>
        </w:rPr>
      </w:pPr>
      <w:r w:rsidRPr="005C7CC6">
        <w:rPr>
          <w:rFonts w:ascii="Book Antiqua" w:hAnsi="Book Antiqua" w:hint="default"/>
          <w:sz w:val="20"/>
          <w:szCs w:val="24"/>
        </w:rPr>
        <w:t xml:space="preserve">Pregnant women who experience preeclampsia need serious attention because preeclampsia that is not treated properly will have a bad impact and can endanger the health of the mother and fetus </w:t>
      </w:r>
      <w:r w:rsidRPr="005C7CC6">
        <w:rPr>
          <w:rFonts w:ascii="Book Antiqua" w:hAnsi="Book Antiqua" w:hint="default"/>
          <w:sz w:val="20"/>
          <w:szCs w:val="24"/>
        </w:rPr>
        <w:fldChar w:fldCharType="begin" w:fldLock="1"/>
      </w:r>
      <w:r w:rsidRPr="005C7CC6">
        <w:rPr>
          <w:rFonts w:ascii="Book Antiqua" w:hAnsi="Book Antiqua" w:hint="default"/>
          <w:sz w:val="20"/>
          <w:szCs w:val="24"/>
        </w:rPr>
        <w:instrText>ADDIN CSL_CITATION {"citationItems":[{"id":"ITEM-1","itemData":{"DOI":"10.14710/hnhs.5.2.2022.94-101","abstract":"Introduction: Preeclampsia causes of the most maternal mortality rate in Indonesia. One of factors that lead to high rates of preeclampsia is the lack of knowledge of the mother. Low knowledge can result in mothers not being able to recognize the signs and symptoms of preeclampsia early. The study of maternal knowledge about preeclampsia in Eastern Indonesia is limited, so this study aims to determine the knowledge of primigravida mothers about preeclampsia in Eastern Indonesia.Methods: This research is quantitative descriptive. Respondents in this study were 90 primigravida mothers who did examinations at the Pratama Asy-Syfa clinic and the Ampenan health center in Mataram City. The sampling method used purposive sampling, data collection with questionnaires that had been tested for validity and reliability, and distributed through Whatsapp groups using google form.Results: The knowledge score with the knowledge level classification was good as many as 19 people (31.7%), 33 people (55%), and 8 people lacking (13,3%).Conclusion: Most of the primigravida mothers have sufficient knowledge but there are still those who have less knowledge, so efforts are needed to increase the knowledge of primigravida mothers about preeclampsia. Keywords: Pregnant Women, Knowledge, Attitude.","author":[{"dropping-particle":"","family":"Novyanti","given":"Baiq Mira","non-dropping-particle":"","parse-names":false,"suffix":""},{"dropping-particle":"","family":"Kristina","given":"Tri Nur","non-dropping-particle":"","parse-names":false,"suffix":""},{"dropping-particle":"","family":"Sudarmiati","given":"Sari","non-dropping-particle":"","parse-names":false,"suffix":""}],"container-title":"Holistic Nursing and Health Science","id":"ITEM-1","issue":"2","issued":{"date-parts":[["2022"]]},"page":"238-245","title":"Pengetahuan Ibu Hamil tentang Preeklamsia di Nusa Tenggara Barat","type":"article-journal","volume":"5"},"uris":["http://www.mendeley.com/documents/?uuid=62506cbe-1073-47b7-83f0-ed730cd3f555"]}],"mendeley":{"formattedCitation":"(Novyanti et al., 2022)","plainTextFormattedCitation":"(Novyanti et al., 2022)","previouslyFormattedCitation":"(Novyanti et al., 2022)"},"properties":{"noteIndex":0},"schema":"https://github.com/citation-style-language/schema/raw/master/csl-citation.json"}</w:instrText>
      </w:r>
      <w:r w:rsidRPr="005C7CC6">
        <w:rPr>
          <w:rFonts w:ascii="Book Antiqua" w:hAnsi="Book Antiqua" w:hint="default"/>
          <w:sz w:val="20"/>
          <w:szCs w:val="24"/>
        </w:rPr>
        <w:fldChar w:fldCharType="separate"/>
      </w:r>
      <w:r w:rsidRPr="005C7CC6">
        <w:rPr>
          <w:rFonts w:ascii="Book Antiqua" w:hAnsi="Book Antiqua" w:hint="default"/>
          <w:noProof/>
          <w:sz w:val="20"/>
          <w:szCs w:val="24"/>
        </w:rPr>
        <w:t xml:space="preserve">(Novyanti et al., 2022) </w:t>
      </w:r>
      <w:r w:rsidRPr="005C7CC6">
        <w:rPr>
          <w:rFonts w:ascii="Book Antiqua" w:hAnsi="Book Antiqua" w:hint="default"/>
          <w:sz w:val="20"/>
          <w:szCs w:val="24"/>
        </w:rPr>
        <w:fldChar w:fldCharType="end"/>
      </w:r>
      <w:r w:rsidRPr="005C7CC6">
        <w:rPr>
          <w:rFonts w:ascii="Book Antiqua" w:hAnsi="Book Antiqua" w:hint="default"/>
          <w:sz w:val="20"/>
          <w:szCs w:val="24"/>
        </w:rPr>
        <w:t>.</w:t>
      </w:r>
    </w:p>
    <w:p w:rsidR="005C7CC6" w:rsidRPr="005C7CC6" w:rsidRDefault="005C7CC6" w:rsidP="00974890">
      <w:pPr>
        <w:spacing w:after="0" w:line="360" w:lineRule="auto"/>
        <w:ind w:firstLine="420"/>
        <w:jc w:val="both"/>
        <w:rPr>
          <w:rFonts w:ascii="Book Antiqua" w:hAnsi="Book Antiqua" w:hint="default"/>
          <w:sz w:val="20"/>
          <w:szCs w:val="24"/>
        </w:rPr>
      </w:pPr>
      <w:r w:rsidRPr="005C7CC6">
        <w:rPr>
          <w:rFonts w:ascii="Book Antiqua" w:hAnsi="Book Antiqua" w:hint="default"/>
          <w:sz w:val="20"/>
          <w:szCs w:val="24"/>
        </w:rPr>
        <w:t xml:space="preserve">The level of knowledge is very important because all changes that occur can be responded to appropriately if someone has knowledge. Through knowledge in pregnant women about preeclampsia, it will give rise to preeclampsia prevention behavior from anything that can trigger one of the treatments that can be done, namely early detection, through </w:t>
      </w:r>
      <w:r w:rsidRPr="005C7CC6">
        <w:rPr>
          <w:rFonts w:ascii="Book Antiqua" w:hAnsi="Book Antiqua" w:hint="default"/>
          <w:i/>
          <w:iCs/>
          <w:sz w:val="20"/>
          <w:szCs w:val="24"/>
        </w:rPr>
        <w:t xml:space="preserve">antenatal care </w:t>
      </w:r>
      <w:r w:rsidRPr="005C7CC6">
        <w:rPr>
          <w:rFonts w:ascii="Book Antiqua" w:hAnsi="Book Antiqua" w:hint="default"/>
          <w:sz w:val="20"/>
          <w:szCs w:val="24"/>
        </w:rPr>
        <w:t xml:space="preserve">(ANC) services or care which is a way to monitor and support the health of normal pregnant women and detect mothers with normal pregnancies so that they do not become abnormal </w:t>
      </w:r>
      <w:r w:rsidRPr="005C7CC6">
        <w:rPr>
          <w:rFonts w:ascii="Book Antiqua" w:hAnsi="Book Antiqua" w:hint="default"/>
          <w:sz w:val="20"/>
          <w:szCs w:val="24"/>
        </w:rPr>
        <w:fldChar w:fldCharType="begin" w:fldLock="1"/>
      </w:r>
      <w:r w:rsidRPr="005C7CC6">
        <w:rPr>
          <w:rFonts w:ascii="Book Antiqua" w:hAnsi="Book Antiqua" w:hint="default"/>
          <w:sz w:val="20"/>
          <w:szCs w:val="24"/>
        </w:rPr>
        <w:instrText>ADDIN CSL_CITATION {"citationItems":[{"id":"ITEM-1","itemData":{"DOI":"10.14710/hnhs.5.2.2022.94-101","abstract":"Introduction: Preeclampsia causes of the most maternal mortality rate in Indonesia. One of factors that lead to high rates of preeclampsia is the lack of knowledge of the mother. Low knowledge can result in mothers not being able to recognize the signs and symptoms of preeclampsia early. The study of maternal knowledge about preeclampsia in Eastern Indonesia is limited, so this study aims to determine the knowledge of primigravida mothers about preeclampsia in Eastern Indonesia.Methods: This research is quantitative descriptive. Respondents in this study were 90 primigravida mothers who did examinations at the Pratama Asy-Syfa clinic and the Ampenan health center in Mataram City. The sampling method used purposive sampling, data collection with questionnaires that had been tested for validity and reliability, and distributed through Whatsapp groups using google form.Results: The knowledge score with the knowledge level classification was good as many as 19 people (31.7%), 33 people (55%), and 8 people lacking (13,3%).Conclusion: Most of the primigravida mothers have sufficient knowledge but there are still those who have less knowledge, so efforts are needed to increase the knowledge of primigravida mothers about preeclampsia. Keywords: Pregnant Women, Knowledge, Attitude.","author":[{"dropping-particle":"","family":"Novyanti","given":"Baiq Mira","non-dropping-particle":"","parse-names":false,"suffix":""},{"dropping-particle":"","family":"Kristina","given":"Tri Nur","non-dropping-particle":"","parse-names":false,"suffix":""},{"dropping-particle":"","family":"Sudarmiati","given":"Sari","non-dropping-particle":"","parse-names":false,"suffix":""}],"container-title":"Holistic Nursing and Health Science","id":"ITEM-1","issue":"2","issued":{"date-parts":[["2022"]]},"page":"238-245","title":"Pengetahuan Ibu Hamil tentang Preeklamsia di Nusa Tenggara Barat","type":"article-journal","volume":"5"},"uris":["http://www.mendeley.com/documents/?uuid=62506cbe-1073-47b7-83f0-ed730cd3f555"]}],"mendeley":{"formattedCitation":"(Novyanti et al., 2022)","plainTextFormattedCitation":"(Novyanti et al., 2022)","previouslyFormattedCitation":"(Novyanti et al., 2022)"},"properties":{"noteIndex":0},"schema":"https://github.com/citation-style-language/schema/raw/master/csl-citation.json"}</w:instrText>
      </w:r>
      <w:r w:rsidRPr="005C7CC6">
        <w:rPr>
          <w:rFonts w:ascii="Book Antiqua" w:hAnsi="Book Antiqua" w:hint="default"/>
          <w:sz w:val="20"/>
          <w:szCs w:val="24"/>
        </w:rPr>
        <w:fldChar w:fldCharType="separate"/>
      </w:r>
      <w:r w:rsidRPr="005C7CC6">
        <w:rPr>
          <w:rFonts w:ascii="Book Antiqua" w:hAnsi="Book Antiqua" w:hint="default"/>
          <w:noProof/>
          <w:sz w:val="20"/>
          <w:szCs w:val="24"/>
        </w:rPr>
        <w:t xml:space="preserve">(Novyanti et al., 2022) </w:t>
      </w:r>
      <w:r w:rsidRPr="005C7CC6">
        <w:rPr>
          <w:rFonts w:ascii="Book Antiqua" w:hAnsi="Book Antiqua" w:hint="default"/>
          <w:sz w:val="20"/>
          <w:szCs w:val="24"/>
        </w:rPr>
        <w:fldChar w:fldCharType="end"/>
      </w:r>
      <w:r w:rsidRPr="005C7CC6">
        <w:rPr>
          <w:rFonts w:ascii="Book Antiqua" w:hAnsi="Book Antiqua" w:hint="default"/>
          <w:sz w:val="20"/>
          <w:szCs w:val="24"/>
        </w:rPr>
        <w:t>.</w:t>
      </w:r>
    </w:p>
    <w:p w:rsidR="005C7CC6" w:rsidRPr="005C7CC6" w:rsidRDefault="005C7CC6" w:rsidP="005C7CC6">
      <w:pPr>
        <w:spacing w:after="0" w:line="360" w:lineRule="auto"/>
        <w:ind w:firstLine="420"/>
        <w:jc w:val="both"/>
        <w:rPr>
          <w:rFonts w:ascii="Book Antiqua" w:hAnsi="Book Antiqua" w:hint="default"/>
          <w:sz w:val="20"/>
          <w:szCs w:val="24"/>
        </w:rPr>
      </w:pPr>
      <w:r w:rsidRPr="005C7CC6">
        <w:rPr>
          <w:rFonts w:ascii="Book Antiqua" w:hAnsi="Book Antiqua" w:hint="default"/>
          <w:sz w:val="20"/>
          <w:szCs w:val="24"/>
        </w:rPr>
        <w:t>Based on the results of a preliminary study conducted by researchers on March 30, 2024, by interviewing midwives in the Padangsari Health Center work area, Semarang City, it was stated that the number of pregnant women with preeclampsia was still high. From January 2023 to March 2024, the number of preeclampsia incidents in pregnant women in the Padangsari Health Center work area was 11.1 % (83) pregnant women with a total of 742 pregnant women.</w:t>
      </w:r>
      <w:r w:rsidR="00F153F5">
        <w:rPr>
          <w:rFonts w:ascii="Book Antiqua" w:hAnsi="Book Antiqua" w:hint="default"/>
          <w:sz w:val="20"/>
          <w:szCs w:val="24"/>
        </w:rPr>
        <w:t xml:space="preserve">. </w:t>
      </w:r>
      <w:r w:rsidRPr="005C7CC6">
        <w:rPr>
          <w:rFonts w:ascii="Book Antiqua" w:hAnsi="Book Antiqua" w:hint="default"/>
          <w:sz w:val="20"/>
          <w:szCs w:val="24"/>
        </w:rPr>
        <w:t>Considering how dangerous preeclampsia is for pregnant women, it is necessary to carry out serious prevention or treatment of preeclampsia complications, therefore researchers are interested in conducting research with the title "The Relationship between Knowledge Level and Preeclampsia Prevention Behavior in Pregnant Women in the Padangsari Health Center Work Area"</w:t>
      </w:r>
    </w:p>
    <w:p w:rsidR="00170148" w:rsidRPr="00C0293E" w:rsidRDefault="004828BE" w:rsidP="004A359D">
      <w:pPr>
        <w:pStyle w:val="NormalWeb"/>
        <w:widowControl/>
        <w:numPr>
          <w:ilvl w:val="0"/>
          <w:numId w:val="1"/>
        </w:numPr>
        <w:spacing w:before="0" w:beforeAutospacing="0" w:after="0" w:afterAutospacing="0" w:line="360" w:lineRule="auto"/>
        <w:ind w:leftChars="-91" w:left="0" w:hangingChars="109" w:hanging="218"/>
        <w:jc w:val="both"/>
        <w:rPr>
          <w:rFonts w:ascii="Book Antiqua" w:eastAsia="Book Antiqua" w:hAnsi="Book Antiqua" w:hint="default"/>
          <w:b/>
          <w:color w:val="000000"/>
          <w:kern w:val="0"/>
          <w:sz w:val="20"/>
          <w:lang w:val="id-ID"/>
        </w:rPr>
      </w:pPr>
      <w:r>
        <w:rPr>
          <w:rFonts w:ascii="Book Antiqua" w:eastAsia="Book Antiqua" w:hAnsi="Book Antiqua" w:hint="default"/>
          <w:b/>
          <w:color w:val="000000"/>
          <w:kern w:val="0"/>
          <w:sz w:val="20"/>
          <w:lang w:val="id-ID"/>
        </w:rPr>
        <w:t>Method</w:t>
      </w:r>
    </w:p>
    <w:p w:rsidR="00C0293E" w:rsidRDefault="00C0293E" w:rsidP="004A359D">
      <w:pPr>
        <w:spacing w:after="0" w:line="360" w:lineRule="auto"/>
        <w:ind w:firstLine="420"/>
        <w:jc w:val="both"/>
        <w:rPr>
          <w:rFonts w:ascii="Book Antiqua" w:hAnsi="Book Antiqua" w:hint="default"/>
          <w:sz w:val="20"/>
          <w:szCs w:val="24"/>
          <w:lang w:eastAsia="en-ID"/>
        </w:rPr>
      </w:pPr>
      <w:r w:rsidRPr="00C0293E">
        <w:rPr>
          <w:rFonts w:ascii="Book Antiqua" w:hAnsi="Book Antiqua" w:hint="default"/>
          <w:sz w:val="20"/>
          <w:szCs w:val="24"/>
        </w:rPr>
        <w:t xml:space="preserve">This type of research uses a quantitative method with a descriptive correlation design with a </w:t>
      </w:r>
      <w:r w:rsidRPr="00C0293E">
        <w:rPr>
          <w:rFonts w:ascii="Book Antiqua" w:hAnsi="Book Antiqua" w:hint="default"/>
          <w:i/>
          <w:iCs/>
          <w:sz w:val="20"/>
          <w:szCs w:val="24"/>
        </w:rPr>
        <w:t xml:space="preserve">cross-sectional approach </w:t>
      </w:r>
      <w:r w:rsidRPr="00C0293E">
        <w:rPr>
          <w:rFonts w:ascii="Book Antiqua" w:hAnsi="Book Antiqua" w:hint="default"/>
          <w:sz w:val="20"/>
          <w:szCs w:val="24"/>
        </w:rPr>
        <w:t xml:space="preserve">. The research was conducted in the Padangsari Health Center Working Area, Semarang City. </w:t>
      </w:r>
      <w:r w:rsidRPr="00C0293E">
        <w:rPr>
          <w:rFonts w:ascii="Book Antiqua" w:hAnsi="Book Antiqua" w:hint="default"/>
          <w:sz w:val="20"/>
          <w:szCs w:val="24"/>
          <w:lang w:eastAsia="en-ID"/>
        </w:rPr>
        <w:t xml:space="preserve">The number of research samples was 55 respondents selected using non-probability sampling techniques, namely purposive sampling. Data analysis using the </w:t>
      </w:r>
      <w:r w:rsidRPr="00C0293E">
        <w:rPr>
          <w:rFonts w:ascii="Book Antiqua" w:hAnsi="Book Antiqua" w:hint="default"/>
          <w:i/>
          <w:iCs/>
          <w:sz w:val="20"/>
          <w:szCs w:val="24"/>
          <w:lang w:eastAsia="en-ID"/>
        </w:rPr>
        <w:t xml:space="preserve">Chi-Square Test </w:t>
      </w:r>
      <w:r w:rsidRPr="00C0293E">
        <w:rPr>
          <w:rFonts w:ascii="Book Antiqua" w:hAnsi="Book Antiqua" w:hint="default"/>
          <w:sz w:val="20"/>
          <w:szCs w:val="24"/>
          <w:lang w:eastAsia="en-ID"/>
        </w:rPr>
        <w:t>. The research instrument used a questionnaire on the level of knowledge about preeclampsia and preeclampsia prevention behavior that was created by the researcher himself and has been tested for validity and reliability.</w:t>
      </w:r>
    </w:p>
    <w:p w:rsidR="00F153F5" w:rsidRDefault="00F153F5" w:rsidP="00974890">
      <w:pPr>
        <w:spacing w:after="0" w:line="360" w:lineRule="auto"/>
        <w:jc w:val="both"/>
        <w:rPr>
          <w:rFonts w:ascii="Book Antiqua" w:hAnsi="Book Antiqua" w:hint="default"/>
          <w:sz w:val="20"/>
          <w:szCs w:val="24"/>
          <w:lang w:eastAsia="en-ID"/>
        </w:rPr>
      </w:pPr>
    </w:p>
    <w:p w:rsidR="00974890" w:rsidRDefault="00974890" w:rsidP="00974890">
      <w:pPr>
        <w:spacing w:after="0" w:line="360" w:lineRule="auto"/>
        <w:jc w:val="both"/>
        <w:rPr>
          <w:rFonts w:ascii="Book Antiqua" w:hAnsi="Book Antiqua" w:hint="default"/>
          <w:sz w:val="20"/>
          <w:szCs w:val="24"/>
          <w:lang w:eastAsia="en-ID"/>
        </w:rPr>
      </w:pPr>
    </w:p>
    <w:p w:rsidR="00974890" w:rsidRDefault="00974890" w:rsidP="00974890">
      <w:pPr>
        <w:spacing w:after="0" w:line="360" w:lineRule="auto"/>
        <w:jc w:val="both"/>
        <w:rPr>
          <w:rFonts w:ascii="Book Antiqua" w:hAnsi="Book Antiqua" w:hint="default"/>
          <w:sz w:val="20"/>
          <w:szCs w:val="24"/>
          <w:lang w:eastAsia="en-ID"/>
        </w:rPr>
      </w:pPr>
    </w:p>
    <w:p w:rsidR="00974890" w:rsidRDefault="00974890" w:rsidP="00974890">
      <w:pPr>
        <w:spacing w:after="0" w:line="360" w:lineRule="auto"/>
        <w:jc w:val="both"/>
        <w:rPr>
          <w:rFonts w:ascii="Book Antiqua" w:hAnsi="Book Antiqua" w:hint="default"/>
          <w:sz w:val="20"/>
          <w:szCs w:val="24"/>
          <w:lang w:eastAsia="en-ID"/>
        </w:rPr>
      </w:pPr>
    </w:p>
    <w:p w:rsidR="00974890" w:rsidRPr="004A359D" w:rsidRDefault="00974890" w:rsidP="00974890">
      <w:pPr>
        <w:spacing w:after="0" w:line="360" w:lineRule="auto"/>
        <w:jc w:val="both"/>
        <w:rPr>
          <w:rFonts w:ascii="Book Antiqua" w:hAnsi="Book Antiqua" w:hint="default"/>
          <w:sz w:val="20"/>
          <w:szCs w:val="24"/>
        </w:rPr>
      </w:pPr>
    </w:p>
    <w:p w:rsidR="00170148" w:rsidRPr="00761D74" w:rsidRDefault="004828BE" w:rsidP="004A359D">
      <w:pPr>
        <w:pStyle w:val="NormalWeb"/>
        <w:widowControl/>
        <w:numPr>
          <w:ilvl w:val="0"/>
          <w:numId w:val="1"/>
        </w:numPr>
        <w:spacing w:before="0" w:beforeAutospacing="0" w:after="0" w:afterAutospacing="0" w:line="360" w:lineRule="auto"/>
        <w:ind w:leftChars="-91" w:left="0" w:hangingChars="109" w:hanging="218"/>
        <w:jc w:val="both"/>
        <w:rPr>
          <w:rFonts w:ascii="Book Antiqua" w:eastAsia="Book Antiqua" w:hAnsi="Book Antiqua" w:hint="default"/>
          <w:b/>
          <w:color w:val="000000"/>
          <w:kern w:val="0"/>
          <w:sz w:val="20"/>
          <w:lang w:val="id-ID"/>
        </w:rPr>
      </w:pPr>
      <w:r>
        <w:rPr>
          <w:rFonts w:ascii="Book Antiqua" w:eastAsia="Book Antiqua" w:hAnsi="Book Antiqua" w:hint="default"/>
          <w:b/>
          <w:color w:val="000000"/>
          <w:kern w:val="0"/>
          <w:sz w:val="20"/>
          <w:lang w:val="id-ID"/>
        </w:rPr>
        <w:t>Result and Discussion</w:t>
      </w:r>
    </w:p>
    <w:p w:rsidR="00761D74" w:rsidRPr="00761D74" w:rsidRDefault="00761D74" w:rsidP="004A359D">
      <w:pPr>
        <w:pStyle w:val="ListParagraph"/>
        <w:widowControl/>
        <w:numPr>
          <w:ilvl w:val="1"/>
          <w:numId w:val="12"/>
        </w:numPr>
        <w:spacing w:after="0" w:line="360" w:lineRule="auto"/>
        <w:ind w:left="426"/>
        <w:jc w:val="both"/>
        <w:rPr>
          <w:rFonts w:ascii="Book Antiqua" w:hAnsi="Book Antiqua" w:hint="default"/>
          <w:b/>
          <w:sz w:val="20"/>
        </w:rPr>
      </w:pPr>
      <w:r w:rsidRPr="00761D74">
        <w:rPr>
          <w:rFonts w:ascii="Book Antiqua" w:hAnsi="Book Antiqua" w:hint="default"/>
          <w:b/>
          <w:sz w:val="20"/>
        </w:rPr>
        <w:t>Univariate Analysis</w:t>
      </w:r>
    </w:p>
    <w:p w:rsidR="005C7CC6" w:rsidRDefault="00761D74" w:rsidP="005C7CC6">
      <w:pPr>
        <w:pStyle w:val="ListParagraph"/>
        <w:widowControl/>
        <w:numPr>
          <w:ilvl w:val="2"/>
          <w:numId w:val="12"/>
        </w:numPr>
        <w:spacing w:after="0" w:line="360" w:lineRule="auto"/>
        <w:ind w:left="709"/>
        <w:jc w:val="both"/>
        <w:rPr>
          <w:rFonts w:ascii="Book Antiqua" w:hAnsi="Book Antiqua" w:hint="default"/>
          <w:b/>
          <w:sz w:val="20"/>
        </w:rPr>
      </w:pPr>
      <w:r w:rsidRPr="00761D74">
        <w:rPr>
          <w:rFonts w:ascii="Book Antiqua" w:hAnsi="Book Antiqua" w:hint="default"/>
          <w:b/>
          <w:sz w:val="20"/>
        </w:rPr>
        <w:t>Respondent Characteristics</w:t>
      </w:r>
    </w:p>
    <w:p w:rsidR="00761D74" w:rsidRPr="005C7CC6" w:rsidRDefault="00761D74" w:rsidP="005C7CC6">
      <w:pPr>
        <w:pStyle w:val="ListParagraph"/>
        <w:widowControl/>
        <w:spacing w:after="0" w:line="360" w:lineRule="auto"/>
        <w:ind w:left="709"/>
        <w:jc w:val="center"/>
        <w:rPr>
          <w:rFonts w:ascii="Book Antiqua" w:hAnsi="Book Antiqua" w:hint="default"/>
          <w:b/>
          <w:sz w:val="20"/>
        </w:rPr>
      </w:pPr>
      <w:r w:rsidRPr="005C7CC6">
        <w:rPr>
          <w:rFonts w:ascii="Book Antiqua" w:hAnsi="Book Antiqua" w:hint="default"/>
          <w:i/>
          <w:iCs/>
          <w:sz w:val="20"/>
        </w:rPr>
        <w:t>Table 4.1 Respondent Characteristics Based on Maternal Age and Gestational Age in the Padangsari Health Center Work Area in 2024 (n = 55)</w:t>
      </w:r>
    </w:p>
    <w:tbl>
      <w:tblPr>
        <w:tblStyle w:val="TableGrid"/>
        <w:tblW w:w="5103" w:type="dxa"/>
        <w:tblInd w:w="-17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425"/>
        <w:gridCol w:w="851"/>
        <w:gridCol w:w="992"/>
        <w:gridCol w:w="572"/>
        <w:gridCol w:w="703"/>
      </w:tblGrid>
      <w:tr w:rsidR="00247D77" w:rsidRPr="004A359D" w:rsidTr="00247D77">
        <w:tc>
          <w:tcPr>
            <w:tcW w:w="1560" w:type="dxa"/>
            <w:tcBorders>
              <w:top w:val="single" w:sz="4" w:space="0" w:color="auto"/>
              <w:bottom w:val="single" w:sz="4" w:space="0" w:color="auto"/>
            </w:tcBorders>
            <w:vAlign w:val="center"/>
          </w:tcPr>
          <w:p w:rsidR="00247D77" w:rsidRPr="00247D77" w:rsidRDefault="00247D77" w:rsidP="005C7CC6">
            <w:pPr>
              <w:pStyle w:val="ListParagraph"/>
              <w:spacing w:line="240" w:lineRule="auto"/>
              <w:ind w:left="0"/>
              <w:jc w:val="center"/>
              <w:rPr>
                <w:rFonts w:ascii="Book Antiqua" w:hAnsi="Book Antiqua" w:hint="default"/>
                <w:b/>
                <w:bCs/>
                <w:sz w:val="20"/>
              </w:rPr>
            </w:pPr>
            <w:r w:rsidRPr="00247D77">
              <w:rPr>
                <w:rFonts w:ascii="Book Antiqua" w:hAnsi="Book Antiqua" w:hint="default"/>
                <w:b/>
                <w:bCs/>
                <w:sz w:val="20"/>
              </w:rPr>
              <w:t>Respondent Characteristics</w:t>
            </w:r>
          </w:p>
        </w:tc>
        <w:tc>
          <w:tcPr>
            <w:tcW w:w="425" w:type="dxa"/>
            <w:tcBorders>
              <w:top w:val="single" w:sz="4" w:space="0" w:color="auto"/>
              <w:bottom w:val="single" w:sz="4" w:space="0" w:color="auto"/>
            </w:tcBorders>
            <w:vAlign w:val="center"/>
          </w:tcPr>
          <w:p w:rsidR="00247D77" w:rsidRPr="00247D77" w:rsidRDefault="00247D77" w:rsidP="005C7CC6">
            <w:pPr>
              <w:pStyle w:val="ListParagraph"/>
              <w:spacing w:line="240" w:lineRule="auto"/>
              <w:ind w:left="0"/>
              <w:jc w:val="center"/>
              <w:rPr>
                <w:rFonts w:ascii="Book Antiqua" w:hAnsi="Book Antiqua" w:hint="default"/>
                <w:b/>
                <w:bCs/>
                <w:sz w:val="20"/>
              </w:rPr>
            </w:pPr>
            <w:r w:rsidRPr="00247D77">
              <w:rPr>
                <w:rFonts w:ascii="Book Antiqua" w:hAnsi="Book Antiqua" w:hint="default"/>
                <w:b/>
                <w:bCs/>
                <w:sz w:val="20"/>
              </w:rPr>
              <w:t>N</w:t>
            </w:r>
          </w:p>
        </w:tc>
        <w:tc>
          <w:tcPr>
            <w:tcW w:w="851" w:type="dxa"/>
            <w:tcBorders>
              <w:top w:val="single" w:sz="4" w:space="0" w:color="auto"/>
              <w:bottom w:val="single" w:sz="4" w:space="0" w:color="auto"/>
            </w:tcBorders>
            <w:vAlign w:val="center"/>
          </w:tcPr>
          <w:p w:rsidR="00247D77" w:rsidRPr="00247D77" w:rsidRDefault="00247D77" w:rsidP="005C7CC6">
            <w:pPr>
              <w:pStyle w:val="ListParagraph"/>
              <w:spacing w:line="240" w:lineRule="auto"/>
              <w:ind w:left="0"/>
              <w:jc w:val="center"/>
              <w:rPr>
                <w:rFonts w:ascii="Book Antiqua" w:hAnsi="Book Antiqua" w:hint="default"/>
                <w:b/>
                <w:bCs/>
                <w:sz w:val="20"/>
              </w:rPr>
            </w:pPr>
            <w:r w:rsidRPr="00247D77">
              <w:rPr>
                <w:rFonts w:ascii="Book Antiqua" w:hAnsi="Book Antiqua" w:hint="default"/>
                <w:b/>
                <w:bCs/>
                <w:sz w:val="20"/>
              </w:rPr>
              <w:t>Mean</w:t>
            </w:r>
          </w:p>
        </w:tc>
        <w:tc>
          <w:tcPr>
            <w:tcW w:w="992" w:type="dxa"/>
            <w:tcBorders>
              <w:top w:val="single" w:sz="4" w:space="0" w:color="auto"/>
              <w:bottom w:val="single" w:sz="4" w:space="0" w:color="auto"/>
            </w:tcBorders>
            <w:vAlign w:val="center"/>
          </w:tcPr>
          <w:p w:rsidR="00247D77" w:rsidRPr="00247D77" w:rsidRDefault="00247D77" w:rsidP="005C7CC6">
            <w:pPr>
              <w:pStyle w:val="ListParagraph"/>
              <w:spacing w:line="240" w:lineRule="auto"/>
              <w:ind w:left="0"/>
              <w:jc w:val="center"/>
              <w:rPr>
                <w:rFonts w:ascii="Book Antiqua" w:hAnsi="Book Antiqua" w:hint="default"/>
                <w:b/>
                <w:bCs/>
                <w:sz w:val="20"/>
              </w:rPr>
            </w:pPr>
            <w:r w:rsidRPr="00247D77">
              <w:rPr>
                <w:rFonts w:ascii="Book Antiqua" w:hAnsi="Book Antiqua" w:hint="default"/>
                <w:b/>
                <w:bCs/>
                <w:sz w:val="20"/>
              </w:rPr>
              <w:t>Median</w:t>
            </w:r>
          </w:p>
        </w:tc>
        <w:tc>
          <w:tcPr>
            <w:tcW w:w="572" w:type="dxa"/>
            <w:tcBorders>
              <w:top w:val="single" w:sz="4" w:space="0" w:color="auto"/>
              <w:bottom w:val="single" w:sz="4" w:space="0" w:color="auto"/>
            </w:tcBorders>
            <w:vAlign w:val="center"/>
          </w:tcPr>
          <w:p w:rsidR="00247D77" w:rsidRPr="00247D77" w:rsidRDefault="00247D77" w:rsidP="005C7CC6">
            <w:pPr>
              <w:pStyle w:val="ListParagraph"/>
              <w:spacing w:line="240" w:lineRule="auto"/>
              <w:ind w:left="0"/>
              <w:jc w:val="center"/>
              <w:rPr>
                <w:rFonts w:ascii="Book Antiqua" w:hAnsi="Book Antiqua" w:hint="default"/>
                <w:b/>
                <w:bCs/>
                <w:sz w:val="20"/>
              </w:rPr>
            </w:pPr>
            <w:r w:rsidRPr="00247D77">
              <w:rPr>
                <w:rFonts w:ascii="Book Antiqua" w:hAnsi="Book Antiqua" w:hint="default"/>
                <w:b/>
                <w:bCs/>
                <w:sz w:val="20"/>
              </w:rPr>
              <w:t>Min</w:t>
            </w:r>
          </w:p>
        </w:tc>
        <w:tc>
          <w:tcPr>
            <w:tcW w:w="703" w:type="dxa"/>
            <w:tcBorders>
              <w:top w:val="single" w:sz="4" w:space="0" w:color="auto"/>
              <w:bottom w:val="single" w:sz="4" w:space="0" w:color="auto"/>
            </w:tcBorders>
            <w:vAlign w:val="center"/>
          </w:tcPr>
          <w:p w:rsidR="00247D77" w:rsidRPr="00247D77" w:rsidRDefault="00247D77" w:rsidP="00247D77">
            <w:pPr>
              <w:pStyle w:val="ListParagraph"/>
              <w:spacing w:line="240" w:lineRule="auto"/>
              <w:ind w:left="0"/>
              <w:jc w:val="left"/>
              <w:rPr>
                <w:rFonts w:ascii="Book Antiqua" w:hAnsi="Book Antiqua" w:hint="default"/>
                <w:b/>
                <w:bCs/>
                <w:sz w:val="20"/>
              </w:rPr>
            </w:pPr>
            <w:r w:rsidRPr="00247D77">
              <w:rPr>
                <w:rFonts w:ascii="Book Antiqua" w:hAnsi="Book Antiqua" w:hint="default"/>
                <w:b/>
                <w:bCs/>
                <w:sz w:val="20"/>
              </w:rPr>
              <w:t>Max</w:t>
            </w:r>
          </w:p>
        </w:tc>
      </w:tr>
      <w:tr w:rsidR="00247D77" w:rsidRPr="004A359D" w:rsidTr="00247D77">
        <w:tc>
          <w:tcPr>
            <w:tcW w:w="1560" w:type="dxa"/>
            <w:tcBorders>
              <w:top w:val="single" w:sz="4" w:space="0" w:color="auto"/>
              <w:bottom w:val="nil"/>
            </w:tcBorders>
          </w:tcPr>
          <w:p w:rsidR="00247D77" w:rsidRPr="00247D77" w:rsidRDefault="00247D77" w:rsidP="005C7CC6">
            <w:pPr>
              <w:pStyle w:val="ListParagraph"/>
              <w:spacing w:line="240" w:lineRule="auto"/>
              <w:ind w:left="0"/>
              <w:rPr>
                <w:rFonts w:ascii="Book Antiqua" w:hAnsi="Book Antiqua" w:hint="default"/>
                <w:sz w:val="20"/>
              </w:rPr>
            </w:pPr>
            <w:r w:rsidRPr="00247D77">
              <w:rPr>
                <w:rFonts w:ascii="Book Antiqua" w:hAnsi="Book Antiqua" w:hint="default"/>
                <w:sz w:val="20"/>
              </w:rPr>
              <w:t>Mother's Age (Years)</w:t>
            </w:r>
          </w:p>
        </w:tc>
        <w:tc>
          <w:tcPr>
            <w:tcW w:w="425" w:type="dxa"/>
            <w:tcBorders>
              <w:top w:val="single" w:sz="4" w:space="0" w:color="auto"/>
              <w:bottom w:val="nil"/>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55</w:t>
            </w:r>
          </w:p>
        </w:tc>
        <w:tc>
          <w:tcPr>
            <w:tcW w:w="851" w:type="dxa"/>
            <w:tcBorders>
              <w:top w:val="single" w:sz="4" w:space="0" w:color="auto"/>
              <w:bottom w:val="nil"/>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29.29</w:t>
            </w:r>
          </w:p>
        </w:tc>
        <w:tc>
          <w:tcPr>
            <w:tcW w:w="992" w:type="dxa"/>
            <w:tcBorders>
              <w:top w:val="single" w:sz="4" w:space="0" w:color="auto"/>
              <w:bottom w:val="nil"/>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28.00</w:t>
            </w:r>
          </w:p>
        </w:tc>
        <w:tc>
          <w:tcPr>
            <w:tcW w:w="572" w:type="dxa"/>
            <w:tcBorders>
              <w:top w:val="single" w:sz="4" w:space="0" w:color="auto"/>
              <w:bottom w:val="nil"/>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19</w:t>
            </w:r>
          </w:p>
        </w:tc>
        <w:tc>
          <w:tcPr>
            <w:tcW w:w="703" w:type="dxa"/>
            <w:tcBorders>
              <w:top w:val="single" w:sz="4" w:space="0" w:color="auto"/>
              <w:bottom w:val="nil"/>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42</w:t>
            </w:r>
          </w:p>
        </w:tc>
      </w:tr>
      <w:tr w:rsidR="00247D77" w:rsidRPr="004A359D" w:rsidTr="00247D77">
        <w:tc>
          <w:tcPr>
            <w:tcW w:w="1560" w:type="dxa"/>
            <w:tcBorders>
              <w:top w:val="nil"/>
              <w:bottom w:val="single" w:sz="4" w:space="0" w:color="auto"/>
            </w:tcBorders>
          </w:tcPr>
          <w:p w:rsidR="00247D77" w:rsidRPr="00247D77" w:rsidRDefault="00247D77" w:rsidP="005C7CC6">
            <w:pPr>
              <w:pStyle w:val="ListParagraph"/>
              <w:spacing w:line="240" w:lineRule="auto"/>
              <w:ind w:left="0"/>
              <w:rPr>
                <w:rFonts w:ascii="Book Antiqua" w:hAnsi="Book Antiqua" w:hint="default"/>
                <w:sz w:val="20"/>
              </w:rPr>
            </w:pPr>
            <w:r w:rsidRPr="00247D77">
              <w:rPr>
                <w:rFonts w:ascii="Book Antiqua" w:hAnsi="Book Antiqua" w:hint="default"/>
                <w:sz w:val="20"/>
              </w:rPr>
              <w:t>Pregnancy Age (Weeks)</w:t>
            </w:r>
          </w:p>
        </w:tc>
        <w:tc>
          <w:tcPr>
            <w:tcW w:w="425" w:type="dxa"/>
            <w:tcBorders>
              <w:top w:val="nil"/>
              <w:bottom w:val="single" w:sz="4" w:space="0" w:color="auto"/>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55</w:t>
            </w:r>
          </w:p>
        </w:tc>
        <w:tc>
          <w:tcPr>
            <w:tcW w:w="851" w:type="dxa"/>
            <w:tcBorders>
              <w:top w:val="nil"/>
              <w:bottom w:val="single" w:sz="4" w:space="0" w:color="auto"/>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23.87</w:t>
            </w:r>
          </w:p>
        </w:tc>
        <w:tc>
          <w:tcPr>
            <w:tcW w:w="992" w:type="dxa"/>
            <w:tcBorders>
              <w:top w:val="nil"/>
              <w:bottom w:val="single" w:sz="4" w:space="0" w:color="auto"/>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23.00</w:t>
            </w:r>
          </w:p>
        </w:tc>
        <w:tc>
          <w:tcPr>
            <w:tcW w:w="572" w:type="dxa"/>
            <w:tcBorders>
              <w:top w:val="nil"/>
              <w:bottom w:val="single" w:sz="4" w:space="0" w:color="auto"/>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9</w:t>
            </w:r>
          </w:p>
        </w:tc>
        <w:tc>
          <w:tcPr>
            <w:tcW w:w="703" w:type="dxa"/>
            <w:tcBorders>
              <w:top w:val="nil"/>
              <w:bottom w:val="single" w:sz="4" w:space="0" w:color="auto"/>
            </w:tcBorders>
          </w:tcPr>
          <w:p w:rsidR="00247D77" w:rsidRPr="00247D77" w:rsidRDefault="00247D77" w:rsidP="005C7CC6">
            <w:pPr>
              <w:pStyle w:val="ListParagraph"/>
              <w:spacing w:line="240" w:lineRule="auto"/>
              <w:ind w:left="0"/>
              <w:jc w:val="center"/>
              <w:rPr>
                <w:rFonts w:ascii="Book Antiqua" w:hAnsi="Book Antiqua" w:hint="default"/>
                <w:sz w:val="20"/>
              </w:rPr>
            </w:pPr>
            <w:r w:rsidRPr="00247D77">
              <w:rPr>
                <w:rFonts w:ascii="Book Antiqua" w:hAnsi="Book Antiqua" w:hint="default"/>
                <w:sz w:val="20"/>
              </w:rPr>
              <w:t>38</w:t>
            </w:r>
          </w:p>
        </w:tc>
      </w:tr>
    </w:tbl>
    <w:p w:rsidR="00761D74" w:rsidRPr="00761D74" w:rsidRDefault="00761D74" w:rsidP="005C7CC6">
      <w:pPr>
        <w:spacing w:after="0" w:line="240" w:lineRule="auto"/>
        <w:ind w:left="426"/>
        <w:rPr>
          <w:rFonts w:ascii="Book Antiqua" w:hAnsi="Book Antiqua" w:hint="default"/>
          <w:i/>
          <w:iCs/>
          <w:sz w:val="20"/>
        </w:rPr>
      </w:pPr>
    </w:p>
    <w:p w:rsidR="00761D74" w:rsidRPr="00761D74" w:rsidRDefault="00761D74" w:rsidP="00247D77">
      <w:pPr>
        <w:spacing w:after="0" w:line="240" w:lineRule="auto"/>
        <w:ind w:left="720"/>
        <w:jc w:val="center"/>
        <w:rPr>
          <w:rFonts w:ascii="Book Antiqua" w:hAnsi="Book Antiqua" w:hint="default"/>
          <w:i/>
          <w:iCs/>
          <w:sz w:val="20"/>
        </w:rPr>
      </w:pPr>
      <w:r w:rsidRPr="00761D74">
        <w:rPr>
          <w:rFonts w:ascii="Book Antiqua" w:hAnsi="Book Antiqua" w:hint="default"/>
          <w:i/>
          <w:iCs/>
          <w:sz w:val="20"/>
        </w:rPr>
        <w:t>Table 4.2 Characteristics of Respondents Based on Parity, History of Preeclampsia, Education and Employment in the Padangsari Health Center Work Area in 2024 (n = 55)</w:t>
      </w:r>
    </w:p>
    <w:p w:rsidR="00761D74" w:rsidRPr="00761D74" w:rsidRDefault="00761D74" w:rsidP="00761D74">
      <w:pPr>
        <w:spacing w:after="0" w:line="240" w:lineRule="auto"/>
        <w:rPr>
          <w:rFonts w:ascii="Book Antiqua" w:hAnsi="Book Antiqua" w:hint="default"/>
          <w:i/>
          <w:iCs/>
          <w:sz w:val="20"/>
        </w:rPr>
      </w:pPr>
    </w:p>
    <w:tbl>
      <w:tblPr>
        <w:tblStyle w:val="TableGrid"/>
        <w:tblW w:w="478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4"/>
        <w:gridCol w:w="1077"/>
        <w:gridCol w:w="1595"/>
      </w:tblGrid>
      <w:tr w:rsidR="00761D74" w:rsidRPr="000509D5" w:rsidTr="00974890">
        <w:tc>
          <w:tcPr>
            <w:tcW w:w="2114" w:type="dxa"/>
            <w:tcBorders>
              <w:top w:val="single" w:sz="4" w:space="0" w:color="auto"/>
              <w:bottom w:val="single" w:sz="4" w:space="0" w:color="auto"/>
            </w:tcBorders>
            <w:vAlign w:val="center"/>
          </w:tcPr>
          <w:p w:rsidR="00761D74" w:rsidRPr="000509D5" w:rsidRDefault="00761D74" w:rsidP="00247D77">
            <w:pPr>
              <w:pStyle w:val="ListParagraph"/>
              <w:spacing w:line="240" w:lineRule="auto"/>
              <w:ind w:left="0"/>
              <w:jc w:val="center"/>
              <w:rPr>
                <w:rFonts w:ascii="Book Antiqua" w:hAnsi="Book Antiqua" w:hint="default"/>
                <w:b/>
                <w:bCs/>
                <w:sz w:val="18"/>
                <w:szCs w:val="18"/>
              </w:rPr>
            </w:pPr>
            <w:r w:rsidRPr="000509D5">
              <w:rPr>
                <w:rFonts w:ascii="Book Antiqua" w:hAnsi="Book Antiqua" w:hint="default"/>
                <w:b/>
                <w:bCs/>
                <w:sz w:val="18"/>
                <w:szCs w:val="18"/>
              </w:rPr>
              <w:t>Characteristics</w:t>
            </w:r>
          </w:p>
          <w:p w:rsidR="00761D74" w:rsidRPr="000509D5" w:rsidRDefault="00761D74" w:rsidP="00247D77">
            <w:pPr>
              <w:pStyle w:val="ListParagraph"/>
              <w:spacing w:line="240" w:lineRule="auto"/>
              <w:ind w:left="0"/>
              <w:jc w:val="center"/>
              <w:rPr>
                <w:rFonts w:ascii="Book Antiqua" w:hAnsi="Book Antiqua" w:hint="default"/>
                <w:b/>
                <w:bCs/>
                <w:sz w:val="18"/>
                <w:szCs w:val="18"/>
              </w:rPr>
            </w:pPr>
            <w:r w:rsidRPr="000509D5">
              <w:rPr>
                <w:rFonts w:ascii="Book Antiqua" w:hAnsi="Book Antiqua" w:hint="default"/>
                <w:b/>
                <w:bCs/>
                <w:sz w:val="18"/>
                <w:szCs w:val="18"/>
              </w:rPr>
              <w:t>Respondents</w:t>
            </w:r>
          </w:p>
        </w:tc>
        <w:tc>
          <w:tcPr>
            <w:tcW w:w="1077" w:type="dxa"/>
            <w:tcBorders>
              <w:top w:val="single" w:sz="4" w:space="0" w:color="auto"/>
              <w:bottom w:val="single" w:sz="4" w:space="0" w:color="auto"/>
            </w:tcBorders>
            <w:vAlign w:val="center"/>
          </w:tcPr>
          <w:p w:rsidR="00761D74" w:rsidRPr="000509D5" w:rsidRDefault="00761D74" w:rsidP="00247D77">
            <w:pPr>
              <w:pStyle w:val="ListParagraph"/>
              <w:spacing w:line="240" w:lineRule="auto"/>
              <w:ind w:left="0"/>
              <w:jc w:val="center"/>
              <w:rPr>
                <w:rFonts w:ascii="Book Antiqua" w:hAnsi="Book Antiqua" w:hint="default"/>
                <w:b/>
                <w:bCs/>
                <w:sz w:val="18"/>
                <w:szCs w:val="18"/>
              </w:rPr>
            </w:pPr>
            <w:r w:rsidRPr="000509D5">
              <w:rPr>
                <w:rFonts w:ascii="Book Antiqua" w:hAnsi="Book Antiqua" w:hint="default"/>
                <w:b/>
                <w:bCs/>
                <w:sz w:val="18"/>
                <w:szCs w:val="18"/>
              </w:rPr>
              <w:t>Frequency (f)</w:t>
            </w:r>
          </w:p>
        </w:tc>
        <w:tc>
          <w:tcPr>
            <w:tcW w:w="1595" w:type="dxa"/>
            <w:tcBorders>
              <w:top w:val="single" w:sz="4" w:space="0" w:color="auto"/>
              <w:bottom w:val="single" w:sz="4" w:space="0" w:color="auto"/>
            </w:tcBorders>
            <w:vAlign w:val="center"/>
          </w:tcPr>
          <w:p w:rsidR="00761D74" w:rsidRPr="000509D5" w:rsidRDefault="00761D74" w:rsidP="00247D77">
            <w:pPr>
              <w:pStyle w:val="ListParagraph"/>
              <w:spacing w:line="240" w:lineRule="auto"/>
              <w:ind w:left="0"/>
              <w:jc w:val="center"/>
              <w:rPr>
                <w:rFonts w:ascii="Book Antiqua" w:hAnsi="Book Antiqua" w:hint="default"/>
                <w:b/>
                <w:bCs/>
                <w:sz w:val="18"/>
                <w:szCs w:val="18"/>
              </w:rPr>
            </w:pPr>
            <w:r w:rsidRPr="000509D5">
              <w:rPr>
                <w:rFonts w:ascii="Book Antiqua" w:hAnsi="Book Antiqua" w:hint="default"/>
                <w:b/>
                <w:bCs/>
                <w:sz w:val="18"/>
                <w:szCs w:val="18"/>
              </w:rPr>
              <w:t>Percentage (%)</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b/>
                <w:bCs/>
                <w:sz w:val="18"/>
                <w:szCs w:val="18"/>
              </w:rPr>
              <w:t>Parity</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Primigravida</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30</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54.5</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Multigravida</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25</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45.5</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b/>
                <w:bCs/>
                <w:sz w:val="18"/>
                <w:szCs w:val="18"/>
              </w:rPr>
              <w:t>History of Preeclampsia</w:t>
            </w:r>
          </w:p>
        </w:tc>
        <w:tc>
          <w:tcPr>
            <w:tcW w:w="1077" w:type="dxa"/>
          </w:tcPr>
          <w:p w:rsidR="00761D74" w:rsidRPr="000509D5" w:rsidRDefault="00761D74" w:rsidP="00247D77">
            <w:pPr>
              <w:pStyle w:val="ListParagraph"/>
              <w:spacing w:after="0" w:line="240" w:lineRule="auto"/>
              <w:ind w:left="-680" w:firstLine="680"/>
              <w:jc w:val="center"/>
              <w:rPr>
                <w:rFonts w:ascii="Book Antiqua" w:hAnsi="Book Antiqua" w:hint="default"/>
                <w:sz w:val="18"/>
                <w:szCs w:val="18"/>
              </w:rPr>
            </w:pP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Yes</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5</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9.1</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No</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50</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90.9</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b/>
                <w:bCs/>
                <w:sz w:val="18"/>
                <w:szCs w:val="18"/>
              </w:rPr>
            </w:pPr>
            <w:r w:rsidRPr="000509D5">
              <w:rPr>
                <w:rFonts w:ascii="Book Antiqua" w:hAnsi="Book Antiqua" w:hint="default"/>
                <w:b/>
                <w:bCs/>
                <w:sz w:val="18"/>
                <w:szCs w:val="18"/>
              </w:rPr>
              <w:t>Education</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Elementary (Primary-Junior High School)</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12</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21.8</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Secondary (High School/Equivalent)</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19</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34.5</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Higher (Diploma/Bachelor)</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24</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43.6</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b/>
                <w:bCs/>
                <w:sz w:val="18"/>
                <w:szCs w:val="18"/>
              </w:rPr>
            </w:pPr>
            <w:r w:rsidRPr="000509D5">
              <w:rPr>
                <w:rFonts w:ascii="Book Antiqua" w:hAnsi="Book Antiqua" w:hint="default"/>
                <w:b/>
                <w:bCs/>
                <w:sz w:val="18"/>
                <w:szCs w:val="18"/>
              </w:rPr>
              <w:t>Work</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civil servant</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4</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7.3</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Self-employed</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19</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34.5</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Housewife</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31</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56.4</w:t>
            </w:r>
          </w:p>
        </w:tc>
      </w:tr>
      <w:tr w:rsidR="00761D74" w:rsidRPr="000509D5" w:rsidTr="00974890">
        <w:tc>
          <w:tcPr>
            <w:tcW w:w="2114" w:type="dxa"/>
          </w:tcPr>
          <w:p w:rsidR="00761D74" w:rsidRPr="000509D5" w:rsidRDefault="00761D74" w:rsidP="00247D77">
            <w:pPr>
              <w:pStyle w:val="ListParagraph"/>
              <w:spacing w:after="0" w:line="240" w:lineRule="auto"/>
              <w:ind w:left="0"/>
              <w:rPr>
                <w:rFonts w:ascii="Book Antiqua" w:hAnsi="Book Antiqua" w:hint="default"/>
                <w:sz w:val="18"/>
                <w:szCs w:val="18"/>
              </w:rPr>
            </w:pPr>
            <w:r w:rsidRPr="000509D5">
              <w:rPr>
                <w:rFonts w:ascii="Book Antiqua" w:hAnsi="Book Antiqua" w:hint="default"/>
                <w:sz w:val="18"/>
                <w:szCs w:val="18"/>
              </w:rPr>
              <w:t>Businessman</w:t>
            </w:r>
          </w:p>
        </w:tc>
        <w:tc>
          <w:tcPr>
            <w:tcW w:w="1077"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1</w:t>
            </w:r>
          </w:p>
        </w:tc>
        <w:tc>
          <w:tcPr>
            <w:tcW w:w="1595" w:type="dxa"/>
          </w:tcPr>
          <w:p w:rsidR="00761D74" w:rsidRPr="000509D5" w:rsidRDefault="00761D74" w:rsidP="00247D77">
            <w:pPr>
              <w:pStyle w:val="ListParagraph"/>
              <w:spacing w:after="0" w:line="240" w:lineRule="auto"/>
              <w:ind w:left="0"/>
              <w:jc w:val="center"/>
              <w:rPr>
                <w:rFonts w:ascii="Book Antiqua" w:hAnsi="Book Antiqua" w:hint="default"/>
                <w:sz w:val="18"/>
                <w:szCs w:val="18"/>
              </w:rPr>
            </w:pPr>
            <w:r w:rsidRPr="000509D5">
              <w:rPr>
                <w:rFonts w:ascii="Book Antiqua" w:hAnsi="Book Antiqua" w:hint="default"/>
                <w:sz w:val="18"/>
                <w:szCs w:val="18"/>
              </w:rPr>
              <w:t>1.8</w:t>
            </w:r>
          </w:p>
        </w:tc>
      </w:tr>
      <w:tr w:rsidR="00761D74" w:rsidRPr="000509D5" w:rsidTr="00974890">
        <w:tc>
          <w:tcPr>
            <w:tcW w:w="2114" w:type="dxa"/>
            <w:tcBorders>
              <w:top w:val="single" w:sz="4" w:space="0" w:color="auto"/>
              <w:bottom w:val="single" w:sz="4" w:space="0" w:color="auto"/>
            </w:tcBorders>
          </w:tcPr>
          <w:p w:rsidR="00761D74" w:rsidRPr="000509D5" w:rsidRDefault="00761D74" w:rsidP="00247D77">
            <w:pPr>
              <w:pStyle w:val="ListParagraph"/>
              <w:spacing w:after="0" w:line="240" w:lineRule="auto"/>
              <w:ind w:left="0"/>
              <w:rPr>
                <w:rFonts w:ascii="Book Antiqua" w:hAnsi="Book Antiqua" w:hint="default"/>
                <w:b/>
                <w:bCs/>
                <w:sz w:val="18"/>
                <w:szCs w:val="18"/>
              </w:rPr>
            </w:pPr>
            <w:r w:rsidRPr="000509D5">
              <w:rPr>
                <w:rFonts w:ascii="Book Antiqua" w:hAnsi="Book Antiqua" w:hint="default"/>
                <w:b/>
                <w:bCs/>
                <w:sz w:val="18"/>
                <w:szCs w:val="18"/>
              </w:rPr>
              <w:t>Total</w:t>
            </w:r>
          </w:p>
        </w:tc>
        <w:tc>
          <w:tcPr>
            <w:tcW w:w="1077" w:type="dxa"/>
            <w:tcBorders>
              <w:top w:val="single" w:sz="4" w:space="0" w:color="auto"/>
              <w:bottom w:val="single" w:sz="4" w:space="0" w:color="auto"/>
            </w:tcBorders>
          </w:tcPr>
          <w:p w:rsidR="00761D74" w:rsidRPr="000509D5" w:rsidRDefault="00761D74" w:rsidP="00247D77">
            <w:pPr>
              <w:pStyle w:val="ListParagraph"/>
              <w:spacing w:after="0" w:line="240" w:lineRule="auto"/>
              <w:ind w:left="0"/>
              <w:jc w:val="center"/>
              <w:rPr>
                <w:rFonts w:ascii="Book Antiqua" w:hAnsi="Book Antiqua" w:hint="default"/>
                <w:b/>
                <w:bCs/>
                <w:sz w:val="18"/>
                <w:szCs w:val="18"/>
              </w:rPr>
            </w:pPr>
            <w:r w:rsidRPr="000509D5">
              <w:rPr>
                <w:rFonts w:ascii="Book Antiqua" w:hAnsi="Book Antiqua" w:hint="default"/>
                <w:b/>
                <w:bCs/>
                <w:sz w:val="18"/>
                <w:szCs w:val="18"/>
              </w:rPr>
              <w:t>55</w:t>
            </w:r>
          </w:p>
        </w:tc>
        <w:tc>
          <w:tcPr>
            <w:tcW w:w="1595" w:type="dxa"/>
            <w:tcBorders>
              <w:top w:val="single" w:sz="4" w:space="0" w:color="auto"/>
              <w:bottom w:val="single" w:sz="4" w:space="0" w:color="auto"/>
            </w:tcBorders>
          </w:tcPr>
          <w:p w:rsidR="00761D74" w:rsidRPr="000509D5" w:rsidRDefault="00761D74" w:rsidP="00247D77">
            <w:pPr>
              <w:pStyle w:val="ListParagraph"/>
              <w:spacing w:after="0" w:line="240" w:lineRule="auto"/>
              <w:ind w:left="0"/>
              <w:jc w:val="center"/>
              <w:rPr>
                <w:rFonts w:ascii="Book Antiqua" w:hAnsi="Book Antiqua" w:hint="default"/>
                <w:b/>
                <w:bCs/>
                <w:sz w:val="18"/>
                <w:szCs w:val="18"/>
              </w:rPr>
            </w:pPr>
            <w:r w:rsidRPr="000509D5">
              <w:rPr>
                <w:rFonts w:ascii="Book Antiqua" w:hAnsi="Book Antiqua" w:hint="default"/>
                <w:b/>
                <w:bCs/>
                <w:sz w:val="18"/>
                <w:szCs w:val="18"/>
              </w:rPr>
              <w:t>100</w:t>
            </w:r>
          </w:p>
        </w:tc>
      </w:tr>
    </w:tbl>
    <w:p w:rsidR="00F153F5" w:rsidRDefault="00F153F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0509D5" w:rsidRDefault="000509D5" w:rsidP="00761D74">
      <w:pPr>
        <w:spacing w:after="0" w:line="240" w:lineRule="auto"/>
        <w:rPr>
          <w:rFonts w:ascii="Book Antiqua" w:hAnsi="Book Antiqua" w:hint="default"/>
          <w:b/>
          <w:sz w:val="20"/>
        </w:rPr>
      </w:pPr>
    </w:p>
    <w:p w:rsidR="00F153F5" w:rsidRPr="00761D74" w:rsidRDefault="00F153F5" w:rsidP="00761D74">
      <w:pPr>
        <w:spacing w:after="0" w:line="240" w:lineRule="auto"/>
        <w:rPr>
          <w:rFonts w:ascii="Book Antiqua" w:hAnsi="Book Antiqua" w:hint="default"/>
          <w:b/>
          <w:sz w:val="20"/>
        </w:rPr>
      </w:pPr>
    </w:p>
    <w:p w:rsidR="00761D74" w:rsidRPr="00761D74" w:rsidRDefault="00761D74" w:rsidP="00761D74">
      <w:pPr>
        <w:pStyle w:val="ListParagraph"/>
        <w:widowControl/>
        <w:numPr>
          <w:ilvl w:val="2"/>
          <w:numId w:val="12"/>
        </w:numPr>
        <w:spacing w:after="0" w:line="360" w:lineRule="auto"/>
        <w:ind w:left="851"/>
        <w:rPr>
          <w:rFonts w:ascii="Book Antiqua" w:hAnsi="Book Antiqua" w:hint="default"/>
          <w:b/>
          <w:sz w:val="20"/>
        </w:rPr>
      </w:pPr>
      <w:r w:rsidRPr="00761D74">
        <w:rPr>
          <w:rFonts w:ascii="Book Antiqua" w:hAnsi="Book Antiqua" w:hint="default"/>
          <w:b/>
          <w:sz w:val="20"/>
        </w:rPr>
        <w:t>Level of Knowledge</w:t>
      </w:r>
    </w:p>
    <w:p w:rsidR="00761D74" w:rsidRPr="00761D74" w:rsidRDefault="00761D74" w:rsidP="00247D77">
      <w:pPr>
        <w:pStyle w:val="ListParagraph"/>
        <w:spacing w:after="0" w:line="360" w:lineRule="auto"/>
        <w:ind w:left="851"/>
        <w:jc w:val="center"/>
        <w:rPr>
          <w:rFonts w:ascii="Book Antiqua" w:hAnsi="Book Antiqua" w:hint="default"/>
          <w:b/>
          <w:sz w:val="20"/>
        </w:rPr>
      </w:pPr>
      <w:r w:rsidRPr="00761D74">
        <w:rPr>
          <w:rFonts w:ascii="Book Antiqua" w:hAnsi="Book Antiqua" w:hint="default"/>
          <w:i/>
          <w:iCs/>
          <w:sz w:val="20"/>
        </w:rPr>
        <w:t>Table 4.3 Characteristics of Respondents Based on Level of Knowledge About Preeclampsia in the Padangsari Health Center Work Area in 2024 (n = 55)</w:t>
      </w:r>
    </w:p>
    <w:tbl>
      <w:tblPr>
        <w:tblStyle w:val="TableGrid"/>
        <w:tblpPr w:leftFromText="180" w:rightFromText="180" w:vertAnchor="text" w:horzAnchor="margin" w:tblpXSpec="right" w:tblpY="147"/>
        <w:tblW w:w="364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1172"/>
        <w:gridCol w:w="1205"/>
      </w:tblGrid>
      <w:tr w:rsidR="00247D77" w:rsidRPr="000509D5" w:rsidTr="00247D77">
        <w:tc>
          <w:tcPr>
            <w:tcW w:w="1272" w:type="dxa"/>
            <w:tcBorders>
              <w:top w:val="single" w:sz="4" w:space="0" w:color="auto"/>
              <w:bottom w:val="single" w:sz="4" w:space="0" w:color="auto"/>
            </w:tcBorders>
            <w:vAlign w:val="center"/>
          </w:tcPr>
          <w:p w:rsidR="00247D77" w:rsidRPr="000509D5" w:rsidRDefault="00247D77"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Level of Knowledge</w:t>
            </w:r>
          </w:p>
        </w:tc>
        <w:tc>
          <w:tcPr>
            <w:tcW w:w="1172" w:type="dxa"/>
            <w:tcBorders>
              <w:top w:val="single" w:sz="4" w:space="0" w:color="auto"/>
              <w:bottom w:val="single" w:sz="4" w:space="0" w:color="auto"/>
            </w:tcBorders>
            <w:vAlign w:val="center"/>
          </w:tcPr>
          <w:p w:rsidR="00247D77" w:rsidRPr="000509D5" w:rsidRDefault="00247D77"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Frequency (f)</w:t>
            </w:r>
          </w:p>
        </w:tc>
        <w:tc>
          <w:tcPr>
            <w:tcW w:w="1205" w:type="dxa"/>
            <w:tcBorders>
              <w:top w:val="single" w:sz="4" w:space="0" w:color="auto"/>
              <w:bottom w:val="single" w:sz="4" w:space="0" w:color="auto"/>
            </w:tcBorders>
            <w:vAlign w:val="center"/>
          </w:tcPr>
          <w:p w:rsidR="00247D77" w:rsidRPr="000509D5" w:rsidRDefault="00247D77"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Percentage (%)</w:t>
            </w:r>
          </w:p>
        </w:tc>
      </w:tr>
      <w:tr w:rsidR="00247D77" w:rsidRPr="000509D5" w:rsidTr="00247D77">
        <w:tc>
          <w:tcPr>
            <w:tcW w:w="1272" w:type="dxa"/>
            <w:tcBorders>
              <w:top w:val="single" w:sz="4" w:space="0" w:color="auto"/>
            </w:tcBorders>
          </w:tcPr>
          <w:p w:rsidR="00247D77" w:rsidRPr="000509D5" w:rsidRDefault="00247D77" w:rsidP="00247D77">
            <w:pPr>
              <w:pStyle w:val="ListParagraph"/>
              <w:spacing w:after="0"/>
              <w:ind w:left="0"/>
              <w:rPr>
                <w:rFonts w:ascii="Book Antiqua" w:hAnsi="Book Antiqua" w:hint="default"/>
                <w:sz w:val="18"/>
              </w:rPr>
            </w:pPr>
            <w:r w:rsidRPr="000509D5">
              <w:rPr>
                <w:rFonts w:ascii="Book Antiqua" w:hAnsi="Book Antiqua" w:hint="default"/>
                <w:sz w:val="18"/>
              </w:rPr>
              <w:t>Good</w:t>
            </w:r>
          </w:p>
        </w:tc>
        <w:tc>
          <w:tcPr>
            <w:tcW w:w="1172" w:type="dxa"/>
            <w:tcBorders>
              <w:top w:val="single" w:sz="4" w:space="0" w:color="auto"/>
            </w:tcBorders>
          </w:tcPr>
          <w:p w:rsidR="00247D77" w:rsidRPr="000509D5" w:rsidRDefault="00247D77" w:rsidP="00247D77">
            <w:pPr>
              <w:pStyle w:val="ListParagraph"/>
              <w:spacing w:after="0"/>
              <w:ind w:left="0"/>
              <w:jc w:val="center"/>
              <w:rPr>
                <w:rFonts w:ascii="Book Antiqua" w:hAnsi="Book Antiqua" w:hint="default"/>
                <w:sz w:val="18"/>
              </w:rPr>
            </w:pPr>
            <w:r w:rsidRPr="000509D5">
              <w:rPr>
                <w:rFonts w:ascii="Book Antiqua" w:hAnsi="Book Antiqua" w:hint="default"/>
                <w:sz w:val="18"/>
              </w:rPr>
              <w:t>31</w:t>
            </w:r>
          </w:p>
        </w:tc>
        <w:tc>
          <w:tcPr>
            <w:tcW w:w="1205" w:type="dxa"/>
            <w:tcBorders>
              <w:top w:val="single" w:sz="4" w:space="0" w:color="auto"/>
            </w:tcBorders>
          </w:tcPr>
          <w:p w:rsidR="00247D77" w:rsidRPr="000509D5" w:rsidRDefault="00247D77" w:rsidP="00247D77">
            <w:pPr>
              <w:pStyle w:val="ListParagraph"/>
              <w:spacing w:after="0"/>
              <w:ind w:left="0"/>
              <w:jc w:val="center"/>
              <w:rPr>
                <w:rFonts w:ascii="Book Antiqua" w:hAnsi="Book Antiqua" w:hint="default"/>
                <w:sz w:val="18"/>
              </w:rPr>
            </w:pPr>
            <w:r w:rsidRPr="000509D5">
              <w:rPr>
                <w:rFonts w:ascii="Book Antiqua" w:hAnsi="Book Antiqua" w:hint="default"/>
                <w:sz w:val="18"/>
              </w:rPr>
              <w:t>56.4</w:t>
            </w:r>
          </w:p>
        </w:tc>
      </w:tr>
      <w:tr w:rsidR="00247D77" w:rsidRPr="000509D5" w:rsidTr="00247D77">
        <w:tc>
          <w:tcPr>
            <w:tcW w:w="1272" w:type="dxa"/>
            <w:tcBorders>
              <w:bottom w:val="single" w:sz="4" w:space="0" w:color="auto"/>
            </w:tcBorders>
          </w:tcPr>
          <w:p w:rsidR="00247D77" w:rsidRPr="000509D5" w:rsidRDefault="00247D77" w:rsidP="00247D77">
            <w:pPr>
              <w:pStyle w:val="ListParagraph"/>
              <w:spacing w:after="0"/>
              <w:ind w:left="0"/>
              <w:rPr>
                <w:rFonts w:ascii="Book Antiqua" w:hAnsi="Book Antiqua" w:hint="default"/>
                <w:sz w:val="18"/>
              </w:rPr>
            </w:pPr>
            <w:r w:rsidRPr="000509D5">
              <w:rPr>
                <w:rFonts w:ascii="Book Antiqua" w:hAnsi="Book Antiqua" w:hint="default"/>
                <w:sz w:val="18"/>
              </w:rPr>
              <w:t>Not enough</w:t>
            </w:r>
          </w:p>
        </w:tc>
        <w:tc>
          <w:tcPr>
            <w:tcW w:w="1172" w:type="dxa"/>
            <w:tcBorders>
              <w:bottom w:val="single" w:sz="4" w:space="0" w:color="auto"/>
            </w:tcBorders>
          </w:tcPr>
          <w:p w:rsidR="00247D77" w:rsidRPr="000509D5" w:rsidRDefault="00247D77" w:rsidP="00247D77">
            <w:pPr>
              <w:pStyle w:val="ListParagraph"/>
              <w:spacing w:after="0"/>
              <w:ind w:left="0"/>
              <w:jc w:val="center"/>
              <w:rPr>
                <w:rFonts w:ascii="Book Antiqua" w:hAnsi="Book Antiqua" w:hint="default"/>
                <w:sz w:val="18"/>
              </w:rPr>
            </w:pPr>
            <w:r w:rsidRPr="000509D5">
              <w:rPr>
                <w:rFonts w:ascii="Book Antiqua" w:hAnsi="Book Antiqua" w:hint="default"/>
                <w:sz w:val="18"/>
              </w:rPr>
              <w:t>24</w:t>
            </w:r>
          </w:p>
        </w:tc>
        <w:tc>
          <w:tcPr>
            <w:tcW w:w="1205" w:type="dxa"/>
            <w:tcBorders>
              <w:bottom w:val="single" w:sz="4" w:space="0" w:color="auto"/>
            </w:tcBorders>
          </w:tcPr>
          <w:p w:rsidR="00247D77" w:rsidRPr="000509D5" w:rsidRDefault="00247D77" w:rsidP="00247D77">
            <w:pPr>
              <w:pStyle w:val="ListParagraph"/>
              <w:spacing w:after="0"/>
              <w:ind w:left="0"/>
              <w:jc w:val="center"/>
              <w:rPr>
                <w:rFonts w:ascii="Book Antiqua" w:hAnsi="Book Antiqua" w:hint="default"/>
                <w:sz w:val="18"/>
              </w:rPr>
            </w:pPr>
            <w:r w:rsidRPr="000509D5">
              <w:rPr>
                <w:rFonts w:ascii="Book Antiqua" w:hAnsi="Book Antiqua" w:hint="default"/>
                <w:sz w:val="18"/>
              </w:rPr>
              <w:t>43.6</w:t>
            </w:r>
          </w:p>
        </w:tc>
      </w:tr>
      <w:tr w:rsidR="00247D77" w:rsidRPr="000509D5" w:rsidTr="00247D77">
        <w:tc>
          <w:tcPr>
            <w:tcW w:w="1272" w:type="dxa"/>
            <w:tcBorders>
              <w:top w:val="single" w:sz="4" w:space="0" w:color="auto"/>
              <w:bottom w:val="single" w:sz="4" w:space="0" w:color="auto"/>
            </w:tcBorders>
          </w:tcPr>
          <w:p w:rsidR="00247D77" w:rsidRPr="000509D5" w:rsidRDefault="00247D77" w:rsidP="00247D77">
            <w:pPr>
              <w:pStyle w:val="ListParagraph"/>
              <w:spacing w:after="0"/>
              <w:ind w:left="0"/>
              <w:rPr>
                <w:rFonts w:ascii="Book Antiqua" w:hAnsi="Book Antiqua" w:hint="default"/>
                <w:b/>
                <w:bCs/>
                <w:sz w:val="18"/>
              </w:rPr>
            </w:pPr>
            <w:r w:rsidRPr="000509D5">
              <w:rPr>
                <w:rFonts w:ascii="Book Antiqua" w:hAnsi="Book Antiqua" w:hint="default"/>
                <w:b/>
                <w:bCs/>
                <w:sz w:val="18"/>
              </w:rPr>
              <w:t>Total</w:t>
            </w:r>
          </w:p>
        </w:tc>
        <w:tc>
          <w:tcPr>
            <w:tcW w:w="1172" w:type="dxa"/>
            <w:tcBorders>
              <w:top w:val="single" w:sz="4" w:space="0" w:color="auto"/>
              <w:bottom w:val="single" w:sz="4" w:space="0" w:color="auto"/>
            </w:tcBorders>
          </w:tcPr>
          <w:p w:rsidR="00247D77" w:rsidRPr="000509D5" w:rsidRDefault="00247D77"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55</w:t>
            </w:r>
          </w:p>
        </w:tc>
        <w:tc>
          <w:tcPr>
            <w:tcW w:w="1205" w:type="dxa"/>
            <w:tcBorders>
              <w:top w:val="single" w:sz="4" w:space="0" w:color="auto"/>
              <w:bottom w:val="single" w:sz="4" w:space="0" w:color="auto"/>
            </w:tcBorders>
          </w:tcPr>
          <w:p w:rsidR="00247D77" w:rsidRPr="000509D5" w:rsidRDefault="00247D77"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100</w:t>
            </w:r>
          </w:p>
        </w:tc>
      </w:tr>
    </w:tbl>
    <w:p w:rsidR="00761D74" w:rsidRPr="000509D5" w:rsidRDefault="00761D74" w:rsidP="00761D74">
      <w:pPr>
        <w:pStyle w:val="Caption"/>
        <w:spacing w:after="0" w:line="360" w:lineRule="auto"/>
        <w:jc w:val="both"/>
        <w:rPr>
          <w:rFonts w:ascii="Book Antiqua" w:hAnsi="Book Antiqua" w:cs="Times New Roman"/>
          <w:b w:val="0"/>
          <w:color w:val="auto"/>
          <w:szCs w:val="20"/>
        </w:rPr>
      </w:pPr>
    </w:p>
    <w:p w:rsidR="006D230B" w:rsidRPr="000509D5" w:rsidRDefault="006D230B" w:rsidP="006D230B">
      <w:pPr>
        <w:rPr>
          <w:rFonts w:hint="default"/>
          <w:sz w:val="22"/>
          <w:lang w:val="en" w:eastAsia="en-US"/>
        </w:rPr>
      </w:pPr>
    </w:p>
    <w:p w:rsidR="006D230B" w:rsidRPr="000509D5" w:rsidRDefault="006D230B" w:rsidP="006D230B">
      <w:pPr>
        <w:rPr>
          <w:rFonts w:hint="default"/>
          <w:sz w:val="22"/>
          <w:lang w:val="en" w:eastAsia="en-US"/>
        </w:rPr>
      </w:pPr>
    </w:p>
    <w:p w:rsidR="006D230B" w:rsidRPr="000509D5" w:rsidRDefault="006D230B" w:rsidP="006D230B">
      <w:pPr>
        <w:rPr>
          <w:rFonts w:hint="default"/>
          <w:sz w:val="22"/>
          <w:lang w:val="en" w:eastAsia="en-US"/>
        </w:rPr>
      </w:pPr>
    </w:p>
    <w:p w:rsidR="00761D74" w:rsidRPr="00761D74" w:rsidRDefault="00761D74" w:rsidP="00761D74">
      <w:pPr>
        <w:pStyle w:val="NormalWeb"/>
        <w:widowControl/>
        <w:numPr>
          <w:ilvl w:val="2"/>
          <w:numId w:val="12"/>
        </w:numPr>
        <w:spacing w:before="0" w:beforeAutospacing="0" w:after="0" w:afterAutospacing="0" w:line="360" w:lineRule="auto"/>
        <w:ind w:left="851"/>
        <w:jc w:val="both"/>
        <w:rPr>
          <w:rFonts w:ascii="Book Antiqua" w:hAnsi="Book Antiqua" w:hint="default"/>
          <w:sz w:val="20"/>
        </w:rPr>
      </w:pPr>
      <w:bookmarkStart w:id="1" w:name="_Toc175257469"/>
      <w:r w:rsidRPr="00761D74">
        <w:rPr>
          <w:rFonts w:ascii="Book Antiqua" w:hAnsi="Book Antiqua" w:hint="default"/>
          <w:b/>
          <w:bCs/>
          <w:color w:val="000000"/>
          <w:sz w:val="20"/>
        </w:rPr>
        <w:t>Preventive Behavior</w:t>
      </w:r>
    </w:p>
    <w:p w:rsidR="00761D74" w:rsidRPr="00761D74" w:rsidRDefault="00761D74" w:rsidP="000509D5">
      <w:pPr>
        <w:pStyle w:val="NormalWeb"/>
        <w:spacing w:before="0" w:beforeAutospacing="0" w:after="0" w:afterAutospacing="0" w:line="360" w:lineRule="auto"/>
        <w:ind w:left="851"/>
        <w:jc w:val="center"/>
        <w:rPr>
          <w:rFonts w:ascii="Book Antiqua" w:hAnsi="Book Antiqua" w:hint="default"/>
          <w:sz w:val="20"/>
        </w:rPr>
      </w:pPr>
      <w:r w:rsidRPr="00761D74">
        <w:rPr>
          <w:rFonts w:ascii="Book Antiqua" w:hAnsi="Book Antiqua" w:hint="default"/>
          <w:i/>
          <w:iCs/>
          <w:sz w:val="20"/>
        </w:rPr>
        <w:t>Table 4.4 Respondent Characteristics Based on Preeclampsia Prevention Behavior in the Padangsari Health Center Work Area in 2024 (n = 55)</w:t>
      </w:r>
    </w:p>
    <w:tbl>
      <w:tblPr>
        <w:tblStyle w:val="TableGrid"/>
        <w:tblW w:w="3416" w:type="dxa"/>
        <w:tblInd w:w="9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1172"/>
        <w:gridCol w:w="1205"/>
      </w:tblGrid>
      <w:tr w:rsidR="00761D74" w:rsidRPr="00761D74" w:rsidTr="00247D77">
        <w:tc>
          <w:tcPr>
            <w:tcW w:w="1039" w:type="dxa"/>
            <w:tcBorders>
              <w:top w:val="single" w:sz="4" w:space="0" w:color="auto"/>
              <w:bottom w:val="single" w:sz="4" w:space="0" w:color="auto"/>
            </w:tcBorders>
            <w:vAlign w:val="center"/>
          </w:tcPr>
          <w:p w:rsidR="00761D74" w:rsidRPr="000509D5" w:rsidRDefault="00761D74"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Behavior</w:t>
            </w:r>
          </w:p>
        </w:tc>
        <w:tc>
          <w:tcPr>
            <w:tcW w:w="1172" w:type="dxa"/>
            <w:tcBorders>
              <w:top w:val="single" w:sz="4" w:space="0" w:color="auto"/>
              <w:bottom w:val="single" w:sz="4" w:space="0" w:color="auto"/>
            </w:tcBorders>
            <w:vAlign w:val="center"/>
          </w:tcPr>
          <w:p w:rsidR="00761D74" w:rsidRPr="000509D5" w:rsidRDefault="00761D74"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Frequency (f)</w:t>
            </w:r>
          </w:p>
        </w:tc>
        <w:tc>
          <w:tcPr>
            <w:tcW w:w="1205" w:type="dxa"/>
            <w:tcBorders>
              <w:top w:val="single" w:sz="4" w:space="0" w:color="auto"/>
              <w:bottom w:val="single" w:sz="4" w:space="0" w:color="auto"/>
            </w:tcBorders>
            <w:vAlign w:val="center"/>
          </w:tcPr>
          <w:p w:rsidR="00761D74" w:rsidRPr="000509D5" w:rsidRDefault="00761D74"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Percentage (%)</w:t>
            </w:r>
          </w:p>
        </w:tc>
      </w:tr>
      <w:tr w:rsidR="00761D74" w:rsidRPr="00761D74" w:rsidTr="00247D77">
        <w:tc>
          <w:tcPr>
            <w:tcW w:w="1039" w:type="dxa"/>
            <w:tcBorders>
              <w:top w:val="single" w:sz="4" w:space="0" w:color="auto"/>
            </w:tcBorders>
          </w:tcPr>
          <w:p w:rsidR="00761D74" w:rsidRPr="000509D5" w:rsidRDefault="00761D74" w:rsidP="00247D77">
            <w:pPr>
              <w:pStyle w:val="ListParagraph"/>
              <w:spacing w:after="0"/>
              <w:ind w:left="0"/>
              <w:rPr>
                <w:rFonts w:ascii="Book Antiqua" w:hAnsi="Book Antiqua" w:hint="default"/>
                <w:sz w:val="18"/>
              </w:rPr>
            </w:pPr>
            <w:r w:rsidRPr="000509D5">
              <w:rPr>
                <w:rFonts w:ascii="Book Antiqua" w:hAnsi="Book Antiqua" w:hint="default"/>
                <w:sz w:val="18"/>
              </w:rPr>
              <w:t>Positive</w:t>
            </w:r>
          </w:p>
        </w:tc>
        <w:tc>
          <w:tcPr>
            <w:tcW w:w="1172" w:type="dxa"/>
            <w:tcBorders>
              <w:top w:val="single" w:sz="4" w:space="0" w:color="auto"/>
            </w:tcBorders>
          </w:tcPr>
          <w:p w:rsidR="00761D74" w:rsidRPr="000509D5" w:rsidRDefault="00761D74" w:rsidP="00247D77">
            <w:pPr>
              <w:pStyle w:val="ListParagraph"/>
              <w:spacing w:after="0"/>
              <w:ind w:left="0"/>
              <w:jc w:val="center"/>
              <w:rPr>
                <w:rFonts w:ascii="Book Antiqua" w:hAnsi="Book Antiqua" w:hint="default"/>
                <w:sz w:val="18"/>
              </w:rPr>
            </w:pPr>
            <w:r w:rsidRPr="000509D5">
              <w:rPr>
                <w:rFonts w:ascii="Book Antiqua" w:hAnsi="Book Antiqua" w:hint="default"/>
                <w:sz w:val="18"/>
              </w:rPr>
              <w:t>32</w:t>
            </w:r>
          </w:p>
        </w:tc>
        <w:tc>
          <w:tcPr>
            <w:tcW w:w="1205" w:type="dxa"/>
            <w:tcBorders>
              <w:top w:val="single" w:sz="4" w:space="0" w:color="auto"/>
            </w:tcBorders>
          </w:tcPr>
          <w:p w:rsidR="00761D74" w:rsidRPr="000509D5" w:rsidRDefault="00761D74" w:rsidP="00247D77">
            <w:pPr>
              <w:pStyle w:val="ListParagraph"/>
              <w:spacing w:after="0"/>
              <w:ind w:left="0"/>
              <w:jc w:val="center"/>
              <w:rPr>
                <w:rFonts w:ascii="Book Antiqua" w:hAnsi="Book Antiqua" w:hint="default"/>
                <w:sz w:val="18"/>
              </w:rPr>
            </w:pPr>
            <w:r w:rsidRPr="000509D5">
              <w:rPr>
                <w:rFonts w:ascii="Book Antiqua" w:hAnsi="Book Antiqua" w:hint="default"/>
                <w:sz w:val="18"/>
              </w:rPr>
              <w:t>58.2</w:t>
            </w:r>
          </w:p>
        </w:tc>
      </w:tr>
      <w:tr w:rsidR="00761D74" w:rsidRPr="00761D74" w:rsidTr="00247D77">
        <w:tc>
          <w:tcPr>
            <w:tcW w:w="1039" w:type="dxa"/>
            <w:tcBorders>
              <w:bottom w:val="single" w:sz="4" w:space="0" w:color="auto"/>
            </w:tcBorders>
          </w:tcPr>
          <w:p w:rsidR="00761D74" w:rsidRPr="000509D5" w:rsidRDefault="00761D74" w:rsidP="00247D77">
            <w:pPr>
              <w:pStyle w:val="ListParagraph"/>
              <w:spacing w:after="0"/>
              <w:ind w:left="0"/>
              <w:rPr>
                <w:rFonts w:ascii="Book Antiqua" w:hAnsi="Book Antiqua" w:hint="default"/>
                <w:sz w:val="18"/>
              </w:rPr>
            </w:pPr>
            <w:r w:rsidRPr="000509D5">
              <w:rPr>
                <w:rFonts w:ascii="Book Antiqua" w:hAnsi="Book Antiqua" w:hint="default"/>
                <w:sz w:val="18"/>
              </w:rPr>
              <w:t>Negative</w:t>
            </w:r>
          </w:p>
        </w:tc>
        <w:tc>
          <w:tcPr>
            <w:tcW w:w="1172" w:type="dxa"/>
            <w:tcBorders>
              <w:bottom w:val="single" w:sz="4" w:space="0" w:color="auto"/>
            </w:tcBorders>
          </w:tcPr>
          <w:p w:rsidR="00761D74" w:rsidRPr="000509D5" w:rsidRDefault="00761D74" w:rsidP="00247D77">
            <w:pPr>
              <w:pStyle w:val="ListParagraph"/>
              <w:spacing w:after="0"/>
              <w:ind w:left="0"/>
              <w:jc w:val="center"/>
              <w:rPr>
                <w:rFonts w:ascii="Book Antiqua" w:hAnsi="Book Antiqua" w:hint="default"/>
                <w:sz w:val="18"/>
              </w:rPr>
            </w:pPr>
            <w:r w:rsidRPr="000509D5">
              <w:rPr>
                <w:rFonts w:ascii="Book Antiqua" w:hAnsi="Book Antiqua" w:hint="default"/>
                <w:sz w:val="18"/>
              </w:rPr>
              <w:t>23</w:t>
            </w:r>
          </w:p>
        </w:tc>
        <w:tc>
          <w:tcPr>
            <w:tcW w:w="1205" w:type="dxa"/>
            <w:tcBorders>
              <w:bottom w:val="single" w:sz="4" w:space="0" w:color="auto"/>
            </w:tcBorders>
          </w:tcPr>
          <w:p w:rsidR="00761D74" w:rsidRPr="000509D5" w:rsidRDefault="00761D74" w:rsidP="00247D77">
            <w:pPr>
              <w:pStyle w:val="ListParagraph"/>
              <w:spacing w:after="0"/>
              <w:ind w:left="0"/>
              <w:jc w:val="center"/>
              <w:rPr>
                <w:rFonts w:ascii="Book Antiqua" w:hAnsi="Book Antiqua" w:hint="default"/>
                <w:sz w:val="18"/>
              </w:rPr>
            </w:pPr>
            <w:r w:rsidRPr="000509D5">
              <w:rPr>
                <w:rFonts w:ascii="Book Antiqua" w:hAnsi="Book Antiqua" w:hint="default"/>
                <w:sz w:val="18"/>
              </w:rPr>
              <w:t>41.8</w:t>
            </w:r>
          </w:p>
        </w:tc>
      </w:tr>
      <w:tr w:rsidR="00761D74" w:rsidRPr="00761D74" w:rsidTr="00247D77">
        <w:tc>
          <w:tcPr>
            <w:tcW w:w="1039" w:type="dxa"/>
            <w:tcBorders>
              <w:top w:val="single" w:sz="4" w:space="0" w:color="auto"/>
              <w:bottom w:val="single" w:sz="4" w:space="0" w:color="auto"/>
            </w:tcBorders>
          </w:tcPr>
          <w:p w:rsidR="00761D74" w:rsidRPr="000509D5" w:rsidRDefault="00761D74" w:rsidP="00247D77">
            <w:pPr>
              <w:pStyle w:val="ListParagraph"/>
              <w:spacing w:after="0"/>
              <w:ind w:left="0"/>
              <w:rPr>
                <w:rFonts w:ascii="Book Antiqua" w:hAnsi="Book Antiqua" w:hint="default"/>
                <w:b/>
                <w:bCs/>
                <w:sz w:val="18"/>
              </w:rPr>
            </w:pPr>
            <w:r w:rsidRPr="000509D5">
              <w:rPr>
                <w:rFonts w:ascii="Book Antiqua" w:hAnsi="Book Antiqua" w:hint="default"/>
                <w:b/>
                <w:bCs/>
                <w:sz w:val="18"/>
              </w:rPr>
              <w:t>Total</w:t>
            </w:r>
          </w:p>
        </w:tc>
        <w:tc>
          <w:tcPr>
            <w:tcW w:w="1172" w:type="dxa"/>
            <w:tcBorders>
              <w:top w:val="single" w:sz="4" w:space="0" w:color="auto"/>
              <w:bottom w:val="single" w:sz="4" w:space="0" w:color="auto"/>
            </w:tcBorders>
          </w:tcPr>
          <w:p w:rsidR="00761D74" w:rsidRPr="000509D5" w:rsidRDefault="00761D74"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55</w:t>
            </w:r>
          </w:p>
        </w:tc>
        <w:tc>
          <w:tcPr>
            <w:tcW w:w="1205" w:type="dxa"/>
            <w:tcBorders>
              <w:top w:val="single" w:sz="4" w:space="0" w:color="auto"/>
              <w:bottom w:val="single" w:sz="4" w:space="0" w:color="auto"/>
            </w:tcBorders>
          </w:tcPr>
          <w:p w:rsidR="00761D74" w:rsidRPr="000509D5" w:rsidRDefault="00761D74" w:rsidP="00247D77">
            <w:pPr>
              <w:pStyle w:val="ListParagraph"/>
              <w:spacing w:after="0"/>
              <w:ind w:left="0"/>
              <w:jc w:val="center"/>
              <w:rPr>
                <w:rFonts w:ascii="Book Antiqua" w:hAnsi="Book Antiqua" w:hint="default"/>
                <w:b/>
                <w:bCs/>
                <w:sz w:val="18"/>
              </w:rPr>
            </w:pPr>
            <w:r w:rsidRPr="000509D5">
              <w:rPr>
                <w:rFonts w:ascii="Book Antiqua" w:hAnsi="Book Antiqua" w:hint="default"/>
                <w:b/>
                <w:bCs/>
                <w:sz w:val="18"/>
              </w:rPr>
              <w:t>100</w:t>
            </w:r>
          </w:p>
        </w:tc>
      </w:tr>
    </w:tbl>
    <w:p w:rsidR="00761D74" w:rsidRPr="00761D74" w:rsidRDefault="00761D74" w:rsidP="00761D74">
      <w:pPr>
        <w:pStyle w:val="NormalWeb"/>
        <w:spacing w:before="0" w:beforeAutospacing="0" w:after="0" w:afterAutospacing="0" w:line="360" w:lineRule="auto"/>
        <w:jc w:val="both"/>
        <w:rPr>
          <w:rFonts w:ascii="Book Antiqua" w:hAnsi="Book Antiqua" w:hint="default"/>
          <w:sz w:val="20"/>
        </w:rPr>
      </w:pPr>
    </w:p>
    <w:bookmarkEnd w:id="1"/>
    <w:p w:rsidR="00761D74" w:rsidRPr="00761D74" w:rsidRDefault="00761D74" w:rsidP="00F153F5">
      <w:pPr>
        <w:pStyle w:val="NormalWeb"/>
        <w:widowControl/>
        <w:numPr>
          <w:ilvl w:val="0"/>
          <w:numId w:val="12"/>
        </w:numPr>
        <w:spacing w:before="0" w:beforeAutospacing="0" w:after="0" w:afterAutospacing="0" w:line="360" w:lineRule="auto"/>
        <w:ind w:left="709"/>
        <w:jc w:val="both"/>
        <w:rPr>
          <w:rFonts w:ascii="Book Antiqua" w:hAnsi="Book Antiqua" w:hint="default"/>
          <w:sz w:val="20"/>
        </w:rPr>
      </w:pPr>
      <w:r w:rsidRPr="00761D74">
        <w:rPr>
          <w:rFonts w:ascii="Book Antiqua" w:hAnsi="Book Antiqua" w:hint="default"/>
          <w:sz w:val="20"/>
        </w:rPr>
        <w:t>Bivariate Analysis</w:t>
      </w:r>
    </w:p>
    <w:p w:rsidR="00761D74" w:rsidRPr="00761D74" w:rsidRDefault="00761D74" w:rsidP="00761D74">
      <w:pPr>
        <w:pStyle w:val="ListParagraph"/>
        <w:widowControl/>
        <w:numPr>
          <w:ilvl w:val="2"/>
          <w:numId w:val="12"/>
        </w:numPr>
        <w:spacing w:after="0" w:line="360" w:lineRule="auto"/>
        <w:ind w:left="851"/>
        <w:jc w:val="both"/>
        <w:rPr>
          <w:rFonts w:ascii="Book Antiqua" w:hAnsi="Book Antiqua" w:hint="default"/>
          <w:b/>
          <w:bCs/>
          <w:sz w:val="20"/>
        </w:rPr>
      </w:pPr>
      <w:r w:rsidRPr="00761D74">
        <w:rPr>
          <w:rFonts w:ascii="Book Antiqua" w:hAnsi="Book Antiqua" w:hint="default"/>
          <w:b/>
          <w:bCs/>
          <w:sz w:val="20"/>
        </w:rPr>
        <w:t>Relationship between Level of Knowledge about Preeclampsia and Preeclampsia Prevention Behavior</w:t>
      </w:r>
    </w:p>
    <w:p w:rsidR="00761D74" w:rsidRPr="00F153F5" w:rsidRDefault="00761D74" w:rsidP="000509D5">
      <w:pPr>
        <w:pStyle w:val="ListParagraph"/>
        <w:spacing w:after="0" w:line="360" w:lineRule="auto"/>
        <w:ind w:left="851"/>
        <w:jc w:val="center"/>
        <w:rPr>
          <w:rFonts w:ascii="Book Antiqua" w:hAnsi="Book Antiqua" w:hint="default"/>
          <w:i/>
          <w:iCs/>
          <w:sz w:val="20"/>
        </w:rPr>
      </w:pPr>
      <w:r w:rsidRPr="00761D74">
        <w:rPr>
          <w:rFonts w:ascii="Book Antiqua" w:hAnsi="Book Antiqua" w:hint="default"/>
          <w:i/>
          <w:iCs/>
          <w:sz w:val="20"/>
        </w:rPr>
        <w:t>Table 4.5 Results of Chi-Square Test Analysis of the Relationship between Knowledge Level and Preeclampsia Prevention Behavior in the Padangsari Health Center Work Area in 2024 (n = 55)</w:t>
      </w:r>
    </w:p>
    <w:tbl>
      <w:tblPr>
        <w:tblStyle w:val="TableGrid"/>
        <w:tblW w:w="5103"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67"/>
        <w:gridCol w:w="709"/>
        <w:gridCol w:w="284"/>
        <w:gridCol w:w="708"/>
        <w:gridCol w:w="567"/>
        <w:gridCol w:w="567"/>
        <w:gridCol w:w="850"/>
      </w:tblGrid>
      <w:tr w:rsidR="00761D74" w:rsidRPr="000509D5" w:rsidTr="00974890">
        <w:tc>
          <w:tcPr>
            <w:tcW w:w="851" w:type="dxa"/>
            <w:vMerge w:val="restart"/>
            <w:tcBorders>
              <w:top w:val="single" w:sz="4" w:space="0" w:color="auto"/>
              <w:bottom w:val="single" w:sz="4" w:space="0" w:color="auto"/>
            </w:tcBorders>
            <w:vAlign w:val="center"/>
          </w:tcPr>
          <w:p w:rsidR="00761D74" w:rsidRPr="000509D5" w:rsidRDefault="00761D74" w:rsidP="00F153F5">
            <w:pPr>
              <w:pStyle w:val="ListParagraph"/>
              <w:spacing w:after="0" w:line="240" w:lineRule="auto"/>
              <w:ind w:left="0"/>
              <w:jc w:val="center"/>
              <w:rPr>
                <w:rFonts w:ascii="Book Antiqua" w:hAnsi="Book Antiqua" w:hint="default"/>
                <w:b/>
                <w:bCs/>
                <w:sz w:val="18"/>
              </w:rPr>
            </w:pPr>
            <w:r w:rsidRPr="000509D5">
              <w:rPr>
                <w:rFonts w:ascii="Book Antiqua" w:hAnsi="Book Antiqua" w:hint="default"/>
                <w:b/>
                <w:bCs/>
                <w:sz w:val="18"/>
              </w:rPr>
              <w:t>Level of Knowledge</w:t>
            </w:r>
          </w:p>
        </w:tc>
        <w:tc>
          <w:tcPr>
            <w:tcW w:w="2268" w:type="dxa"/>
            <w:gridSpan w:val="4"/>
            <w:tcBorders>
              <w:top w:val="single" w:sz="4" w:space="0" w:color="auto"/>
              <w:bottom w:val="single" w:sz="4" w:space="0" w:color="auto"/>
            </w:tcBorders>
            <w:vAlign w:val="center"/>
          </w:tcPr>
          <w:p w:rsidR="00761D74" w:rsidRPr="000509D5" w:rsidRDefault="00761D74" w:rsidP="00F153F5">
            <w:pPr>
              <w:pStyle w:val="ListParagraph"/>
              <w:spacing w:after="0" w:line="240" w:lineRule="auto"/>
              <w:ind w:left="0"/>
              <w:jc w:val="center"/>
              <w:rPr>
                <w:rFonts w:ascii="Book Antiqua" w:hAnsi="Book Antiqua" w:hint="default"/>
                <w:b/>
                <w:bCs/>
                <w:sz w:val="18"/>
              </w:rPr>
            </w:pPr>
            <w:r w:rsidRPr="000509D5">
              <w:rPr>
                <w:rFonts w:ascii="Book Antiqua" w:hAnsi="Book Antiqua" w:hint="default"/>
                <w:b/>
                <w:bCs/>
                <w:sz w:val="18"/>
              </w:rPr>
              <w:t>Preventive Behavior</w:t>
            </w:r>
          </w:p>
        </w:tc>
        <w:tc>
          <w:tcPr>
            <w:tcW w:w="1134" w:type="dxa"/>
            <w:gridSpan w:val="2"/>
            <w:vAlign w:val="center"/>
          </w:tcPr>
          <w:p w:rsidR="00761D74" w:rsidRPr="000509D5" w:rsidRDefault="00761D74" w:rsidP="00F153F5">
            <w:pPr>
              <w:pStyle w:val="ListParagraph"/>
              <w:spacing w:after="0" w:line="240" w:lineRule="auto"/>
              <w:ind w:left="0"/>
              <w:jc w:val="center"/>
              <w:rPr>
                <w:rFonts w:ascii="Book Antiqua" w:hAnsi="Book Antiqua" w:hint="default"/>
                <w:b/>
                <w:bCs/>
                <w:sz w:val="18"/>
              </w:rPr>
            </w:pPr>
            <w:r w:rsidRPr="000509D5">
              <w:rPr>
                <w:rFonts w:ascii="Book Antiqua" w:hAnsi="Book Antiqua" w:hint="default"/>
                <w:b/>
                <w:bCs/>
                <w:sz w:val="18"/>
              </w:rPr>
              <w:t>Total</w:t>
            </w:r>
          </w:p>
        </w:tc>
        <w:tc>
          <w:tcPr>
            <w:tcW w:w="850" w:type="dxa"/>
            <w:vAlign w:val="center"/>
          </w:tcPr>
          <w:p w:rsidR="00761D74" w:rsidRPr="000509D5" w:rsidRDefault="00761D74" w:rsidP="00F153F5">
            <w:pPr>
              <w:pStyle w:val="ListParagraph"/>
              <w:spacing w:after="0" w:line="240" w:lineRule="auto"/>
              <w:ind w:left="0"/>
              <w:jc w:val="center"/>
              <w:rPr>
                <w:rFonts w:ascii="Book Antiqua" w:hAnsi="Book Antiqua" w:hint="default"/>
                <w:b/>
                <w:bCs/>
                <w:sz w:val="18"/>
              </w:rPr>
            </w:pPr>
            <w:r w:rsidRPr="000509D5">
              <w:rPr>
                <w:rFonts w:ascii="Book Antiqua" w:hAnsi="Book Antiqua" w:hint="default"/>
                <w:b/>
                <w:bCs/>
                <w:sz w:val="18"/>
              </w:rPr>
              <w:t>P.</w:t>
            </w:r>
          </w:p>
          <w:p w:rsidR="00761D74" w:rsidRPr="000509D5" w:rsidRDefault="00761D74" w:rsidP="00F153F5">
            <w:pPr>
              <w:pStyle w:val="ListParagraph"/>
              <w:spacing w:after="0" w:line="240" w:lineRule="auto"/>
              <w:ind w:left="0"/>
              <w:jc w:val="center"/>
              <w:rPr>
                <w:rFonts w:ascii="Book Antiqua" w:hAnsi="Book Antiqua" w:hint="default"/>
                <w:b/>
                <w:bCs/>
                <w:sz w:val="18"/>
              </w:rPr>
            </w:pPr>
            <w:r w:rsidRPr="000509D5">
              <w:rPr>
                <w:rFonts w:ascii="Book Antiqua" w:hAnsi="Book Antiqua" w:hint="default"/>
                <w:b/>
                <w:bCs/>
                <w:sz w:val="18"/>
              </w:rPr>
              <w:t>Value</w:t>
            </w:r>
          </w:p>
        </w:tc>
      </w:tr>
      <w:tr w:rsidR="00761D74" w:rsidRPr="000509D5" w:rsidTr="00974890">
        <w:tc>
          <w:tcPr>
            <w:tcW w:w="851" w:type="dxa"/>
            <w:vMerge/>
            <w:tcBorders>
              <w:top w:val="nil"/>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p>
        </w:tc>
        <w:tc>
          <w:tcPr>
            <w:tcW w:w="1276" w:type="dxa"/>
            <w:gridSpan w:val="2"/>
            <w:tcBorders>
              <w:top w:val="single" w:sz="4" w:space="0" w:color="auto"/>
              <w:bottom w:val="single" w:sz="4" w:space="0" w:color="auto"/>
            </w:tcBorders>
          </w:tcPr>
          <w:p w:rsidR="00761D74" w:rsidRPr="000509D5" w:rsidRDefault="00761D74" w:rsidP="00F153F5">
            <w:pPr>
              <w:pStyle w:val="ListParagraph"/>
              <w:spacing w:after="0" w:line="240" w:lineRule="auto"/>
              <w:ind w:left="0"/>
              <w:jc w:val="center"/>
              <w:rPr>
                <w:rFonts w:ascii="Book Antiqua" w:hAnsi="Book Antiqua" w:hint="default"/>
                <w:b/>
                <w:bCs/>
                <w:sz w:val="18"/>
              </w:rPr>
            </w:pPr>
            <w:r w:rsidRPr="000509D5">
              <w:rPr>
                <w:rFonts w:ascii="Book Antiqua" w:hAnsi="Book Antiqua" w:hint="default"/>
                <w:b/>
                <w:bCs/>
                <w:sz w:val="18"/>
              </w:rPr>
              <w:t>Positive</w:t>
            </w:r>
          </w:p>
        </w:tc>
        <w:tc>
          <w:tcPr>
            <w:tcW w:w="992" w:type="dxa"/>
            <w:gridSpan w:val="2"/>
            <w:tcBorders>
              <w:top w:val="single" w:sz="4" w:space="0" w:color="auto"/>
              <w:bottom w:val="single" w:sz="4" w:space="0" w:color="auto"/>
            </w:tcBorders>
          </w:tcPr>
          <w:p w:rsidR="00761D74" w:rsidRPr="000509D5" w:rsidRDefault="00761D74" w:rsidP="00F153F5">
            <w:pPr>
              <w:pStyle w:val="ListParagraph"/>
              <w:spacing w:after="0" w:line="240" w:lineRule="auto"/>
              <w:ind w:left="0"/>
              <w:jc w:val="center"/>
              <w:rPr>
                <w:rFonts w:ascii="Book Antiqua" w:hAnsi="Book Antiqua" w:hint="default"/>
                <w:b/>
                <w:bCs/>
                <w:sz w:val="18"/>
              </w:rPr>
            </w:pPr>
            <w:r w:rsidRPr="000509D5">
              <w:rPr>
                <w:rFonts w:ascii="Book Antiqua" w:hAnsi="Book Antiqua" w:hint="default"/>
                <w:b/>
                <w:bCs/>
                <w:sz w:val="18"/>
              </w:rPr>
              <w:t>Negative</w:t>
            </w:r>
          </w:p>
        </w:tc>
        <w:tc>
          <w:tcPr>
            <w:tcW w:w="1134" w:type="dxa"/>
            <w:gridSpan w:val="2"/>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p>
        </w:tc>
        <w:tc>
          <w:tcPr>
            <w:tcW w:w="850" w:type="dxa"/>
          </w:tcPr>
          <w:p w:rsidR="00761D74" w:rsidRPr="000509D5" w:rsidRDefault="00761D74" w:rsidP="00F153F5">
            <w:pPr>
              <w:pStyle w:val="ListParagraph"/>
              <w:spacing w:after="0" w:line="240" w:lineRule="auto"/>
              <w:ind w:left="0"/>
              <w:rPr>
                <w:rFonts w:ascii="Book Antiqua" w:hAnsi="Book Antiqua" w:hint="default"/>
                <w:sz w:val="18"/>
              </w:rPr>
            </w:pPr>
          </w:p>
        </w:tc>
      </w:tr>
      <w:tr w:rsidR="00761D74" w:rsidRPr="000509D5" w:rsidTr="00974890">
        <w:tc>
          <w:tcPr>
            <w:tcW w:w="851" w:type="dxa"/>
            <w:vMerge/>
            <w:tcBorders>
              <w:top w:val="nil"/>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p>
        </w:tc>
        <w:tc>
          <w:tcPr>
            <w:tcW w:w="567" w:type="dxa"/>
            <w:tcBorders>
              <w:top w:val="single" w:sz="4" w:space="0" w:color="auto"/>
              <w:bottom w:val="single" w:sz="4" w:space="0" w:color="auto"/>
            </w:tcBorders>
          </w:tcPr>
          <w:p w:rsidR="00761D74" w:rsidRPr="000509D5" w:rsidRDefault="00761D74" w:rsidP="00F153F5">
            <w:pPr>
              <w:pStyle w:val="ListParagraph"/>
              <w:spacing w:after="0" w:line="240" w:lineRule="auto"/>
              <w:ind w:left="0"/>
              <w:jc w:val="center"/>
              <w:rPr>
                <w:rFonts w:ascii="Book Antiqua" w:hAnsi="Book Antiqua" w:hint="default"/>
                <w:sz w:val="18"/>
              </w:rPr>
            </w:pPr>
            <w:r w:rsidRPr="000509D5">
              <w:rPr>
                <w:rFonts w:ascii="Book Antiqua" w:hAnsi="Book Antiqua" w:hint="default"/>
                <w:sz w:val="18"/>
              </w:rPr>
              <w:t>F</w:t>
            </w:r>
          </w:p>
        </w:tc>
        <w:tc>
          <w:tcPr>
            <w:tcW w:w="709" w:type="dxa"/>
            <w:tcBorders>
              <w:top w:val="single" w:sz="4" w:space="0" w:color="auto"/>
              <w:bottom w:val="single" w:sz="4" w:space="0" w:color="auto"/>
            </w:tcBorders>
          </w:tcPr>
          <w:p w:rsidR="00761D74" w:rsidRPr="000509D5" w:rsidRDefault="00761D74" w:rsidP="00F153F5">
            <w:pPr>
              <w:pStyle w:val="ListParagraph"/>
              <w:spacing w:after="0" w:line="240" w:lineRule="auto"/>
              <w:ind w:left="0"/>
              <w:jc w:val="center"/>
              <w:rPr>
                <w:rFonts w:ascii="Book Antiqua" w:hAnsi="Book Antiqua" w:hint="default"/>
                <w:sz w:val="18"/>
              </w:rPr>
            </w:pPr>
            <w:r w:rsidRPr="000509D5">
              <w:rPr>
                <w:rFonts w:ascii="Book Antiqua" w:hAnsi="Book Antiqua" w:hint="default"/>
                <w:sz w:val="18"/>
              </w:rPr>
              <w:t>%</w:t>
            </w:r>
          </w:p>
        </w:tc>
        <w:tc>
          <w:tcPr>
            <w:tcW w:w="284" w:type="dxa"/>
            <w:tcBorders>
              <w:top w:val="single" w:sz="4" w:space="0" w:color="auto"/>
              <w:bottom w:val="single" w:sz="4" w:space="0" w:color="auto"/>
            </w:tcBorders>
          </w:tcPr>
          <w:p w:rsidR="00761D74" w:rsidRPr="000509D5" w:rsidRDefault="00761D74" w:rsidP="00F153F5">
            <w:pPr>
              <w:pStyle w:val="ListParagraph"/>
              <w:spacing w:after="0" w:line="240" w:lineRule="auto"/>
              <w:ind w:left="0"/>
              <w:jc w:val="center"/>
              <w:rPr>
                <w:rFonts w:ascii="Book Antiqua" w:hAnsi="Book Antiqua" w:hint="default"/>
                <w:sz w:val="18"/>
              </w:rPr>
            </w:pPr>
            <w:r w:rsidRPr="000509D5">
              <w:rPr>
                <w:rFonts w:ascii="Book Antiqua" w:hAnsi="Book Antiqua" w:hint="default"/>
                <w:sz w:val="18"/>
              </w:rPr>
              <w:t>f</w:t>
            </w:r>
          </w:p>
        </w:tc>
        <w:tc>
          <w:tcPr>
            <w:tcW w:w="708" w:type="dxa"/>
            <w:tcBorders>
              <w:top w:val="single" w:sz="4" w:space="0" w:color="auto"/>
              <w:bottom w:val="single" w:sz="4" w:space="0" w:color="auto"/>
            </w:tcBorders>
          </w:tcPr>
          <w:p w:rsidR="00761D74" w:rsidRPr="000509D5" w:rsidRDefault="00761D74" w:rsidP="00F153F5">
            <w:pPr>
              <w:pStyle w:val="ListParagraph"/>
              <w:spacing w:after="0" w:line="240" w:lineRule="auto"/>
              <w:ind w:left="0"/>
              <w:jc w:val="center"/>
              <w:rPr>
                <w:rFonts w:ascii="Book Antiqua" w:hAnsi="Book Antiqua" w:hint="default"/>
                <w:sz w:val="18"/>
              </w:rPr>
            </w:pPr>
            <w:r w:rsidRPr="000509D5">
              <w:rPr>
                <w:rFonts w:ascii="Book Antiqua" w:hAnsi="Book Antiqua" w:hint="default"/>
                <w:sz w:val="18"/>
              </w:rPr>
              <w:t>%</w:t>
            </w:r>
          </w:p>
        </w:tc>
        <w:tc>
          <w:tcPr>
            <w:tcW w:w="567" w:type="dxa"/>
            <w:tcBorders>
              <w:top w:val="single" w:sz="4" w:space="0" w:color="auto"/>
              <w:bottom w:val="single" w:sz="4" w:space="0" w:color="auto"/>
            </w:tcBorders>
          </w:tcPr>
          <w:p w:rsidR="00761D74" w:rsidRPr="000509D5" w:rsidRDefault="00761D74" w:rsidP="00F153F5">
            <w:pPr>
              <w:pStyle w:val="ListParagraph"/>
              <w:spacing w:after="0" w:line="240" w:lineRule="auto"/>
              <w:ind w:left="0"/>
              <w:jc w:val="center"/>
              <w:rPr>
                <w:rFonts w:ascii="Book Antiqua" w:hAnsi="Book Antiqua" w:hint="default"/>
                <w:sz w:val="18"/>
              </w:rPr>
            </w:pPr>
            <w:r w:rsidRPr="000509D5">
              <w:rPr>
                <w:rFonts w:ascii="Book Antiqua" w:hAnsi="Book Antiqua" w:hint="default"/>
                <w:sz w:val="18"/>
              </w:rPr>
              <w:t>f</w:t>
            </w:r>
          </w:p>
        </w:tc>
        <w:tc>
          <w:tcPr>
            <w:tcW w:w="567" w:type="dxa"/>
            <w:tcBorders>
              <w:top w:val="single" w:sz="4" w:space="0" w:color="auto"/>
              <w:bottom w:val="single" w:sz="4" w:space="0" w:color="auto"/>
            </w:tcBorders>
          </w:tcPr>
          <w:p w:rsidR="00761D74" w:rsidRPr="000509D5" w:rsidRDefault="00761D74" w:rsidP="00F153F5">
            <w:pPr>
              <w:pStyle w:val="ListParagraph"/>
              <w:spacing w:after="0" w:line="240" w:lineRule="auto"/>
              <w:ind w:left="0"/>
              <w:jc w:val="center"/>
              <w:rPr>
                <w:rFonts w:ascii="Book Antiqua" w:hAnsi="Book Antiqua" w:hint="default"/>
                <w:sz w:val="18"/>
              </w:rPr>
            </w:pPr>
            <w:r w:rsidRPr="000509D5">
              <w:rPr>
                <w:rFonts w:ascii="Book Antiqua" w:hAnsi="Book Antiqua" w:hint="default"/>
                <w:sz w:val="18"/>
              </w:rPr>
              <w:t>%</w:t>
            </w:r>
          </w:p>
        </w:tc>
        <w:tc>
          <w:tcPr>
            <w:tcW w:w="850" w:type="dxa"/>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p>
        </w:tc>
      </w:tr>
      <w:tr w:rsidR="00761D74" w:rsidRPr="000509D5" w:rsidTr="00974890">
        <w:tc>
          <w:tcPr>
            <w:tcW w:w="851" w:type="dxa"/>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Good</w:t>
            </w:r>
          </w:p>
        </w:tc>
        <w:tc>
          <w:tcPr>
            <w:tcW w:w="567" w:type="dxa"/>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25</w:t>
            </w:r>
          </w:p>
        </w:tc>
        <w:tc>
          <w:tcPr>
            <w:tcW w:w="709" w:type="dxa"/>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80.6%</w:t>
            </w:r>
          </w:p>
        </w:tc>
        <w:tc>
          <w:tcPr>
            <w:tcW w:w="284" w:type="dxa"/>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6</w:t>
            </w:r>
          </w:p>
        </w:tc>
        <w:tc>
          <w:tcPr>
            <w:tcW w:w="708" w:type="dxa"/>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19.4%</w:t>
            </w:r>
          </w:p>
        </w:tc>
        <w:tc>
          <w:tcPr>
            <w:tcW w:w="567" w:type="dxa"/>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31</w:t>
            </w:r>
          </w:p>
        </w:tc>
        <w:tc>
          <w:tcPr>
            <w:tcW w:w="567" w:type="dxa"/>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100%</w:t>
            </w:r>
          </w:p>
        </w:tc>
        <w:tc>
          <w:tcPr>
            <w:tcW w:w="850" w:type="dxa"/>
            <w:vMerge w:val="restart"/>
            <w:tcBorders>
              <w:top w:val="single" w:sz="4" w:space="0" w:color="auto"/>
              <w:bottom w:val="single" w:sz="4" w:space="0" w:color="auto"/>
            </w:tcBorders>
            <w:vAlign w:val="center"/>
          </w:tcPr>
          <w:p w:rsidR="00761D74" w:rsidRPr="000509D5" w:rsidRDefault="00761D74" w:rsidP="00F153F5">
            <w:pPr>
              <w:pStyle w:val="ListParagraph"/>
              <w:spacing w:after="0" w:line="240" w:lineRule="auto"/>
              <w:ind w:left="0"/>
              <w:jc w:val="center"/>
              <w:rPr>
                <w:rFonts w:ascii="Book Antiqua" w:hAnsi="Book Antiqua" w:hint="default"/>
                <w:sz w:val="18"/>
              </w:rPr>
            </w:pPr>
            <w:r w:rsidRPr="000509D5">
              <w:rPr>
                <w:rFonts w:ascii="Book Antiqua" w:hAnsi="Book Antiqua" w:hint="default"/>
                <w:sz w:val="18"/>
              </w:rPr>
              <w:t>0,000</w:t>
            </w:r>
          </w:p>
        </w:tc>
      </w:tr>
      <w:tr w:rsidR="00761D74" w:rsidRPr="000509D5" w:rsidTr="00974890">
        <w:tc>
          <w:tcPr>
            <w:tcW w:w="851" w:type="dxa"/>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Not enough</w:t>
            </w:r>
          </w:p>
        </w:tc>
        <w:tc>
          <w:tcPr>
            <w:tcW w:w="567" w:type="dxa"/>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7</w:t>
            </w:r>
          </w:p>
        </w:tc>
        <w:tc>
          <w:tcPr>
            <w:tcW w:w="709" w:type="dxa"/>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29.2%</w:t>
            </w:r>
          </w:p>
        </w:tc>
        <w:tc>
          <w:tcPr>
            <w:tcW w:w="284" w:type="dxa"/>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17</w:t>
            </w:r>
          </w:p>
        </w:tc>
        <w:tc>
          <w:tcPr>
            <w:tcW w:w="708" w:type="dxa"/>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70.8%</w:t>
            </w:r>
          </w:p>
        </w:tc>
        <w:tc>
          <w:tcPr>
            <w:tcW w:w="567" w:type="dxa"/>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24</w:t>
            </w:r>
          </w:p>
        </w:tc>
        <w:tc>
          <w:tcPr>
            <w:tcW w:w="567" w:type="dxa"/>
            <w:tcBorders>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r w:rsidRPr="000509D5">
              <w:rPr>
                <w:rFonts w:ascii="Book Antiqua" w:hAnsi="Book Antiqua" w:hint="default"/>
                <w:sz w:val="18"/>
              </w:rPr>
              <w:t>100%</w:t>
            </w:r>
          </w:p>
        </w:tc>
        <w:tc>
          <w:tcPr>
            <w:tcW w:w="850" w:type="dxa"/>
            <w:vMerge/>
            <w:tcBorders>
              <w:top w:val="nil"/>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p>
        </w:tc>
      </w:tr>
      <w:tr w:rsidR="00761D74" w:rsidRPr="000509D5" w:rsidTr="00974890">
        <w:tc>
          <w:tcPr>
            <w:tcW w:w="851" w:type="dxa"/>
            <w:tcBorders>
              <w:top w:val="single" w:sz="4" w:space="0" w:color="auto"/>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b/>
                <w:bCs/>
                <w:sz w:val="18"/>
              </w:rPr>
            </w:pPr>
            <w:r w:rsidRPr="000509D5">
              <w:rPr>
                <w:rFonts w:ascii="Book Antiqua" w:hAnsi="Book Antiqua" w:hint="default"/>
                <w:b/>
                <w:bCs/>
                <w:sz w:val="18"/>
              </w:rPr>
              <w:t>Total</w:t>
            </w:r>
          </w:p>
        </w:tc>
        <w:tc>
          <w:tcPr>
            <w:tcW w:w="567" w:type="dxa"/>
            <w:tcBorders>
              <w:top w:val="single" w:sz="4" w:space="0" w:color="auto"/>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b/>
                <w:bCs/>
                <w:sz w:val="18"/>
              </w:rPr>
            </w:pPr>
            <w:r w:rsidRPr="000509D5">
              <w:rPr>
                <w:rFonts w:ascii="Book Antiqua" w:hAnsi="Book Antiqua" w:hint="default"/>
                <w:b/>
                <w:bCs/>
                <w:sz w:val="18"/>
              </w:rPr>
              <w:t>32</w:t>
            </w:r>
          </w:p>
        </w:tc>
        <w:tc>
          <w:tcPr>
            <w:tcW w:w="709" w:type="dxa"/>
            <w:tcBorders>
              <w:top w:val="single" w:sz="4" w:space="0" w:color="auto"/>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b/>
                <w:bCs/>
                <w:sz w:val="18"/>
              </w:rPr>
            </w:pPr>
            <w:r w:rsidRPr="000509D5">
              <w:rPr>
                <w:rFonts w:ascii="Book Antiqua" w:hAnsi="Book Antiqua" w:hint="default"/>
                <w:b/>
                <w:bCs/>
                <w:sz w:val="18"/>
              </w:rPr>
              <w:t>58.2%</w:t>
            </w:r>
          </w:p>
        </w:tc>
        <w:tc>
          <w:tcPr>
            <w:tcW w:w="284" w:type="dxa"/>
            <w:tcBorders>
              <w:top w:val="single" w:sz="4" w:space="0" w:color="auto"/>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b/>
                <w:bCs/>
                <w:sz w:val="18"/>
              </w:rPr>
            </w:pPr>
            <w:r w:rsidRPr="000509D5">
              <w:rPr>
                <w:rFonts w:ascii="Book Antiqua" w:hAnsi="Book Antiqua" w:hint="default"/>
                <w:b/>
                <w:bCs/>
                <w:sz w:val="18"/>
              </w:rPr>
              <w:t>23</w:t>
            </w:r>
          </w:p>
        </w:tc>
        <w:tc>
          <w:tcPr>
            <w:tcW w:w="708" w:type="dxa"/>
            <w:tcBorders>
              <w:top w:val="single" w:sz="4" w:space="0" w:color="auto"/>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b/>
                <w:bCs/>
                <w:sz w:val="18"/>
              </w:rPr>
            </w:pPr>
            <w:r w:rsidRPr="000509D5">
              <w:rPr>
                <w:rFonts w:ascii="Book Antiqua" w:hAnsi="Book Antiqua" w:hint="default"/>
                <w:b/>
                <w:bCs/>
                <w:sz w:val="18"/>
              </w:rPr>
              <w:t>43.6%</w:t>
            </w:r>
          </w:p>
        </w:tc>
        <w:tc>
          <w:tcPr>
            <w:tcW w:w="567" w:type="dxa"/>
            <w:tcBorders>
              <w:top w:val="single" w:sz="4" w:space="0" w:color="auto"/>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b/>
                <w:bCs/>
                <w:sz w:val="18"/>
              </w:rPr>
            </w:pPr>
            <w:r w:rsidRPr="000509D5">
              <w:rPr>
                <w:rFonts w:ascii="Book Antiqua" w:hAnsi="Book Antiqua" w:hint="default"/>
                <w:b/>
                <w:bCs/>
                <w:sz w:val="18"/>
              </w:rPr>
              <w:t>55</w:t>
            </w:r>
          </w:p>
        </w:tc>
        <w:tc>
          <w:tcPr>
            <w:tcW w:w="567" w:type="dxa"/>
            <w:tcBorders>
              <w:top w:val="single" w:sz="4" w:space="0" w:color="auto"/>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b/>
                <w:bCs/>
                <w:sz w:val="18"/>
              </w:rPr>
            </w:pPr>
            <w:r w:rsidRPr="000509D5">
              <w:rPr>
                <w:rFonts w:ascii="Book Antiqua" w:hAnsi="Book Antiqua" w:hint="default"/>
                <w:b/>
                <w:bCs/>
                <w:sz w:val="18"/>
              </w:rPr>
              <w:t>100%</w:t>
            </w:r>
          </w:p>
        </w:tc>
        <w:tc>
          <w:tcPr>
            <w:tcW w:w="850" w:type="dxa"/>
            <w:tcBorders>
              <w:top w:val="single" w:sz="4" w:space="0" w:color="auto"/>
              <w:bottom w:val="single" w:sz="4" w:space="0" w:color="auto"/>
            </w:tcBorders>
          </w:tcPr>
          <w:p w:rsidR="00761D74" w:rsidRPr="000509D5" w:rsidRDefault="00761D74" w:rsidP="00F153F5">
            <w:pPr>
              <w:pStyle w:val="ListParagraph"/>
              <w:spacing w:after="0" w:line="240" w:lineRule="auto"/>
              <w:ind w:left="0"/>
              <w:rPr>
                <w:rFonts w:ascii="Book Antiqua" w:hAnsi="Book Antiqua" w:hint="default"/>
                <w:sz w:val="18"/>
              </w:rPr>
            </w:pPr>
          </w:p>
        </w:tc>
      </w:tr>
    </w:tbl>
    <w:p w:rsidR="000509D5" w:rsidRDefault="000509D5" w:rsidP="00761D74">
      <w:pPr>
        <w:pStyle w:val="NormalWeb"/>
        <w:spacing w:before="240" w:beforeAutospacing="0" w:after="240" w:afterAutospacing="0"/>
        <w:rPr>
          <w:rFonts w:ascii="Book Antiqua" w:hAnsi="Book Antiqua" w:hint="default"/>
          <w:b/>
          <w:bCs/>
          <w:color w:val="000000"/>
          <w:sz w:val="20"/>
        </w:rPr>
      </w:pPr>
    </w:p>
    <w:p w:rsidR="000509D5" w:rsidRDefault="000509D5" w:rsidP="00761D74">
      <w:pPr>
        <w:pStyle w:val="NormalWeb"/>
        <w:spacing w:before="240" w:beforeAutospacing="0" w:after="240" w:afterAutospacing="0"/>
        <w:rPr>
          <w:rFonts w:ascii="Book Antiqua" w:hAnsi="Book Antiqua" w:hint="default"/>
          <w:b/>
          <w:bCs/>
          <w:color w:val="000000"/>
          <w:sz w:val="20"/>
        </w:rPr>
      </w:pPr>
    </w:p>
    <w:p w:rsidR="00761D74" w:rsidRPr="00761D74" w:rsidRDefault="00761D74" w:rsidP="00761D74">
      <w:pPr>
        <w:pStyle w:val="NormalWeb"/>
        <w:spacing w:before="240" w:beforeAutospacing="0" w:after="240" w:afterAutospacing="0"/>
        <w:rPr>
          <w:rFonts w:ascii="Book Antiqua" w:hAnsi="Book Antiqua" w:hint="default"/>
          <w:b/>
          <w:bCs/>
          <w:color w:val="000000"/>
          <w:sz w:val="20"/>
        </w:rPr>
      </w:pPr>
      <w:r w:rsidRPr="00761D74">
        <w:rPr>
          <w:rFonts w:ascii="Book Antiqua" w:hAnsi="Book Antiqua" w:hint="default"/>
          <w:b/>
          <w:bCs/>
          <w:color w:val="000000"/>
          <w:sz w:val="20"/>
        </w:rPr>
        <w:t>DISCUSSION</w:t>
      </w:r>
    </w:p>
    <w:p w:rsidR="000509D5" w:rsidRDefault="00761D74" w:rsidP="000509D5">
      <w:pPr>
        <w:pStyle w:val="ListParagraph"/>
        <w:widowControl/>
        <w:numPr>
          <w:ilvl w:val="0"/>
          <w:numId w:val="17"/>
        </w:numPr>
        <w:spacing w:after="0" w:line="360" w:lineRule="auto"/>
        <w:ind w:left="426"/>
        <w:rPr>
          <w:rFonts w:ascii="Book Antiqua" w:hAnsi="Book Antiqua" w:hint="default"/>
          <w:b/>
          <w:sz w:val="20"/>
        </w:rPr>
      </w:pPr>
      <w:r w:rsidRPr="000509D5">
        <w:rPr>
          <w:rFonts w:ascii="Book Antiqua" w:hAnsi="Book Antiqua" w:hint="default"/>
          <w:b/>
          <w:sz w:val="20"/>
        </w:rPr>
        <w:t>Respondent Characteristics</w:t>
      </w:r>
    </w:p>
    <w:p w:rsidR="000509D5" w:rsidRDefault="00761D74" w:rsidP="000509D5">
      <w:pPr>
        <w:pStyle w:val="ListParagraph"/>
        <w:widowControl/>
        <w:numPr>
          <w:ilvl w:val="3"/>
          <w:numId w:val="1"/>
        </w:numPr>
        <w:tabs>
          <w:tab w:val="clear" w:pos="0"/>
          <w:tab w:val="left" w:pos="567"/>
        </w:tabs>
        <w:spacing w:after="0" w:line="360" w:lineRule="auto"/>
        <w:ind w:left="284"/>
        <w:rPr>
          <w:rFonts w:ascii="Book Antiqua" w:hAnsi="Book Antiqua" w:hint="default"/>
          <w:b/>
          <w:sz w:val="20"/>
        </w:rPr>
      </w:pPr>
      <w:r w:rsidRPr="000509D5">
        <w:rPr>
          <w:rFonts w:ascii="Book Antiqua" w:hAnsi="Book Antiqua" w:hint="default"/>
          <w:b/>
          <w:sz w:val="20"/>
        </w:rPr>
        <w:t>Mother's Age</w:t>
      </w:r>
    </w:p>
    <w:p w:rsidR="000509D5" w:rsidRDefault="000509D5" w:rsidP="000509D5">
      <w:pPr>
        <w:pStyle w:val="ListParagraph"/>
        <w:widowControl/>
        <w:tabs>
          <w:tab w:val="left" w:pos="567"/>
        </w:tabs>
        <w:spacing w:after="0" w:line="360" w:lineRule="auto"/>
        <w:ind w:left="284"/>
        <w:jc w:val="both"/>
        <w:rPr>
          <w:rFonts w:ascii="Book Antiqua" w:hAnsi="Book Antiqua" w:hint="default"/>
          <w:sz w:val="20"/>
        </w:rPr>
      </w:pPr>
      <w:r>
        <w:rPr>
          <w:rFonts w:ascii="Book Antiqua" w:hAnsi="Book Antiqua" w:hint="default"/>
          <w:b/>
          <w:sz w:val="20"/>
        </w:rPr>
        <w:tab/>
      </w:r>
      <w:r>
        <w:rPr>
          <w:rFonts w:ascii="Book Antiqua" w:hAnsi="Book Antiqua" w:hint="default"/>
          <w:b/>
          <w:sz w:val="20"/>
        </w:rPr>
        <w:tab/>
      </w:r>
      <w:r w:rsidR="00761D74" w:rsidRPr="000509D5">
        <w:rPr>
          <w:rFonts w:ascii="Book Antiqua" w:hAnsi="Book Antiqua" w:hint="default"/>
          <w:sz w:val="20"/>
        </w:rPr>
        <w:t xml:space="preserve">Based on the data from the study listed in table 4.1, the characteristics of respondents based on maternal age showed that the average was 29.29 with the youngest respondent being 19 years old with 1 respondent (1.8%) and the oldest respondent being 42 years old with 1 respondent (1.8%). </w:t>
      </w:r>
      <w:bookmarkStart w:id="2" w:name="_Hlk177906254"/>
      <w:r w:rsidR="00761D74" w:rsidRPr="000509D5">
        <w:rPr>
          <w:rFonts w:ascii="Book Antiqua" w:hAnsi="Book Antiqua" w:hint="default"/>
          <w:sz w:val="20"/>
        </w:rPr>
        <w:t xml:space="preserve">The results of this study show that the average age of respondents is 29.29 years . This shows that the average age of respondents in this study is in the normal category for a pregnancy. According to (Erida, 2021), pregnancy is greatly influenced by age , and the age range that is not at risk for pregnancy is in the age range of 20 to 35 years. At this age , the reproductive organs develop and have optimal function. Conversely, the incidence increases threefold in women of non-productive age </w:t>
      </w:r>
      <w:bookmarkEnd w:id="2"/>
      <w:r w:rsidR="00761D74" w:rsidRPr="000509D5">
        <w:rPr>
          <w:rFonts w:ascii="Book Antiqua" w:hAnsi="Book Antiqua" w:hint="default"/>
          <w:sz w:val="20"/>
        </w:rPr>
        <w:t>(Erida, 2021).</w:t>
      </w:r>
    </w:p>
    <w:p w:rsidR="00761D74" w:rsidRPr="000509D5" w:rsidRDefault="000509D5" w:rsidP="000509D5">
      <w:pPr>
        <w:pStyle w:val="ListParagraph"/>
        <w:widowControl/>
        <w:tabs>
          <w:tab w:val="left" w:pos="567"/>
        </w:tabs>
        <w:spacing w:after="0" w:line="360" w:lineRule="auto"/>
        <w:ind w:left="284"/>
        <w:jc w:val="both"/>
        <w:rPr>
          <w:rFonts w:ascii="Book Antiqua" w:hAnsi="Book Antiqua" w:hint="default"/>
          <w:sz w:val="20"/>
        </w:rPr>
      </w:pPr>
      <w:r>
        <w:rPr>
          <w:rFonts w:ascii="Book Antiqua" w:hAnsi="Book Antiqua" w:hint="default"/>
          <w:sz w:val="20"/>
        </w:rPr>
        <w:tab/>
      </w:r>
      <w:r>
        <w:rPr>
          <w:rFonts w:ascii="Book Antiqua" w:hAnsi="Book Antiqua" w:hint="default"/>
          <w:sz w:val="20"/>
        </w:rPr>
        <w:tab/>
      </w:r>
      <w:r w:rsidR="00761D74" w:rsidRPr="000509D5">
        <w:rPr>
          <w:rFonts w:ascii="Book Antiqua" w:hAnsi="Book Antiqua" w:hint="default"/>
          <w:sz w:val="20"/>
        </w:rPr>
        <w:t>Age in the range of 20 to 35 years when associated with the incidence of preeclampsia, this age is relatively lower compared to mothers who are pregnant with an age of &gt;35 years. Thus, it is known that maternal age during pregnancy affects maternal and child morbidity and mortality (Mirawati &amp; Kusumawati, 2018).</w:t>
      </w:r>
    </w:p>
    <w:p w:rsidR="00761D74" w:rsidRPr="00761D74" w:rsidRDefault="00761D74" w:rsidP="000509D5">
      <w:pPr>
        <w:pStyle w:val="ListParagraph"/>
        <w:widowControl/>
        <w:numPr>
          <w:ilvl w:val="3"/>
          <w:numId w:val="1"/>
        </w:numPr>
        <w:spacing w:after="0" w:line="360" w:lineRule="auto"/>
        <w:ind w:left="284" w:hanging="360"/>
        <w:jc w:val="both"/>
        <w:rPr>
          <w:rFonts w:ascii="Book Antiqua" w:hAnsi="Book Antiqua" w:hint="default"/>
          <w:b/>
          <w:sz w:val="20"/>
        </w:rPr>
      </w:pPr>
      <w:r w:rsidRPr="00761D74">
        <w:rPr>
          <w:rFonts w:ascii="Book Antiqua" w:hAnsi="Book Antiqua" w:hint="default"/>
          <w:b/>
          <w:sz w:val="20"/>
        </w:rPr>
        <w:t>Gestational Age</w:t>
      </w:r>
    </w:p>
    <w:p w:rsidR="00761D74" w:rsidRPr="00761D74" w:rsidRDefault="00761D74" w:rsidP="000509D5">
      <w:pPr>
        <w:spacing w:after="0" w:line="360" w:lineRule="auto"/>
        <w:ind w:left="284" w:firstLine="420"/>
        <w:jc w:val="both"/>
        <w:rPr>
          <w:rFonts w:ascii="Book Antiqua" w:hAnsi="Book Antiqua" w:hint="default"/>
          <w:b/>
          <w:sz w:val="20"/>
        </w:rPr>
      </w:pPr>
      <w:r w:rsidRPr="00761D74">
        <w:rPr>
          <w:rFonts w:ascii="Book Antiqua" w:hAnsi="Book Antiqua" w:hint="default"/>
          <w:sz w:val="20"/>
        </w:rPr>
        <w:t xml:space="preserve">Based on the data from the study listed in table 4.1, the characteristics of pregnant women based on gestational age obtained an average result of 23.87 with the youngest gestational age of 9 weeks as many as 1 respondent (1.8%) and the oldest respondent age of 38 weeks as many as 1 respondent (1.8%). The results of this study show that the average gestational age of respondents is 23.87 weeks. This shows that the average gestational age of 23.87 weeks is included in the 2nd trimester. According to </w:t>
      </w:r>
      <w:r w:rsidRPr="00761D74">
        <w:rPr>
          <w:rFonts w:ascii="Book Antiqua" w:hAnsi="Book Antiqua" w:hint="default"/>
          <w:sz w:val="20"/>
          <w:shd w:val="clear" w:color="auto" w:fill="FFFFFF"/>
        </w:rPr>
        <w:fldChar w:fldCharType="begin" w:fldLock="1"/>
      </w:r>
      <w:r w:rsidRPr="00761D74">
        <w:rPr>
          <w:rFonts w:ascii="Book Antiqua" w:hAnsi="Book Antiqua" w:hint="default"/>
          <w:sz w:val="20"/>
          <w:shd w:val="clear" w:color="auto" w:fill="FFFFFF"/>
        </w:rPr>
        <w:instrText>ADDIN CSL_CITATION {"citationItems":[{"id":"ITEM-1","itemData":{"abstract":"Campak merupakan penyakit infeksi disebabkan oleh virus campak dan sangat menular. Virus campak merupakan spesies virus RNA berantai tunggal negatif, berselubung, tidak bersegmen, termasuk dalam genus Morbillivirus di famili Paramyxoviridae. Penyakit campak di Indonesia menjadi masalah kesehatan yang harus ditangani karena kasusnya masih tinggi dan masih terdapat kejadian luar biasa (KLB). Virus campak menular melalui droplet atau partikel aerosol yang pada awalnya menginfeksi limfosit, sel dendritik, dan makrofag alveolar di saluran pernapasan. Masa penularan campak yaitu 4 hari sebelum ruam sampai 4 hari setelah munculnya ruam. Gejala pada campak diawali dengan demam tinggi, pilek, batuk, kehilangan nafsu makan, dan konjungtivitis. Penatalaksanaan pasien campak terdiri dari terapi suportif dan pemberian vitamin A. Pencegahan dilakukan dengan vaksinasi campak-gondong-rubella (MMR).","author":[{"dropping-particle":"","family":"Nuraini","given":"Putri","non-dropping-particle":"","parse-names":false,"suffix":""}],"container-title":"Jurnal Medika Hutama","id":"ITEM-1","issue":"01","issued":{"date-parts":[["2021"]]},"page":"1612-1615","title":"Faktor-Faktor Yang Berhubungan Dengan Kejadian Preeklampsia di RS H. Abdul Manap Kota Jambi","type":"article-journal","volume":"03"},"uris":["http://www.mendeley.com/documents/?uuid=c5e491d6-4f70-4aee-a87d-811edd3881c6"]}],"mendeley":{"formattedCitation":"(Nuraini, 2021)","plainTextFormattedCitation":"(Nuraini, 2021)","previouslyFormattedCitation":"(Nuraini, 2021)"},"properties":{"noteIndex":0},"schema":"https://github.com/citation-style-language/schema/raw/master/csl-citation.json"}</w:instrText>
      </w:r>
      <w:r w:rsidRPr="00761D74">
        <w:rPr>
          <w:rFonts w:ascii="Book Antiqua" w:hAnsi="Book Antiqua" w:hint="default"/>
          <w:sz w:val="20"/>
          <w:shd w:val="clear" w:color="auto" w:fill="FFFFFF"/>
        </w:rPr>
        <w:fldChar w:fldCharType="separate"/>
      </w:r>
      <w:r w:rsidRPr="00761D74">
        <w:rPr>
          <w:rFonts w:ascii="Book Antiqua" w:hAnsi="Book Antiqua" w:hint="default"/>
          <w:noProof/>
          <w:sz w:val="20"/>
          <w:shd w:val="clear" w:color="auto" w:fill="FFFFFF"/>
        </w:rPr>
        <w:t xml:space="preserve">(Nuraini, 2021) </w:t>
      </w:r>
      <w:r w:rsidRPr="00761D74">
        <w:rPr>
          <w:rFonts w:ascii="Book Antiqua" w:hAnsi="Book Antiqua" w:hint="default"/>
          <w:sz w:val="20"/>
          <w:shd w:val="clear" w:color="auto" w:fill="FFFFFF"/>
        </w:rPr>
        <w:fldChar w:fldCharType="end"/>
      </w:r>
      <w:r w:rsidRPr="00761D74">
        <w:rPr>
          <w:rFonts w:ascii="Book Antiqua" w:hAnsi="Book Antiqua" w:hint="default"/>
          <w:sz w:val="20"/>
          <w:shd w:val="clear" w:color="auto" w:fill="FFFFFF"/>
        </w:rPr>
        <w:t xml:space="preserve">, it is stated that </w:t>
      </w:r>
      <w:r w:rsidRPr="00761D74">
        <w:rPr>
          <w:rFonts w:ascii="Book Antiqua" w:hAnsi="Book Antiqua" w:hint="default"/>
          <w:sz w:val="20"/>
        </w:rPr>
        <w:t xml:space="preserve">gestational age after 20 weeks is a risk of preeclampsia, a hypertensive condition that can threaten the health of the mother and fetus if not managed properly. Preeclampsia generally develops after 20 weeks of pregnancy, and this risk increases with increasing gestational age </w:t>
      </w:r>
      <w:r w:rsidRPr="00761D74">
        <w:rPr>
          <w:rFonts w:ascii="Book Antiqua" w:hAnsi="Book Antiqua" w:hint="default"/>
          <w:sz w:val="20"/>
          <w:shd w:val="clear" w:color="auto" w:fill="FFFFFF"/>
        </w:rPr>
        <w:fldChar w:fldCharType="begin" w:fldLock="1"/>
      </w:r>
      <w:r w:rsidRPr="00761D74">
        <w:rPr>
          <w:rFonts w:ascii="Book Antiqua" w:hAnsi="Book Antiqua" w:hint="default"/>
          <w:sz w:val="20"/>
          <w:shd w:val="clear" w:color="auto" w:fill="FFFFFF"/>
        </w:rPr>
        <w:instrText>ADDIN CSL_CITATION {"citationItems":[{"id":"ITEM-1","itemData":{"abstract":"Campak merupakan penyakit infeksi disebabkan oleh virus campak dan sangat menular. Virus campak merupakan spesies virus RNA berantai tunggal negatif, berselubung, tidak bersegmen, termasuk dalam genus Morbillivirus di famili Paramyxoviridae. Penyakit campak di Indonesia menjadi masalah kesehatan yang harus ditangani karena kasusnya masih tinggi dan masih terdapat kejadian luar biasa (KLB). Virus campak menular melalui droplet atau partikel aerosol yang pada awalnya menginfeksi limfosit, sel dendritik, dan makrofag alveolar di saluran pernapasan. Masa penularan campak yaitu 4 hari sebelum ruam sampai 4 hari setelah munculnya ruam. Gejala pada campak diawali dengan demam tinggi, pilek, batuk, kehilangan nafsu makan, dan konjungtivitis. Penatalaksanaan pasien campak terdiri dari terapi suportif dan pemberian vitamin A. Pencegahan dilakukan dengan vaksinasi campak-gondong-rubella (MMR).","author":[{"dropping-particle":"","family":"Nuraini","given":"Putri","non-dropping-particle":"","parse-names":false,"suffix":""}],"container-title":"Jurnal Medika Hutama","id":"ITEM-1","issue":"01","issued":{"date-parts":[["2021"]]},"page":"1612-1615","title":"Faktor-Faktor Yang Berhubungan Dengan Kejadian Preeklampsia di RS H. Abdul Manap Kota Jambi","type":"article-journal","volume":"03"},"uris":["http://www.mendeley.com/documents/?uuid=c5e491d6-4f70-4aee-a87d-811edd3881c6"]}],"mendeley":{"formattedCitation":"(Nuraini, 2021)","plainTextFormattedCitation":"(Nuraini, 2021)","previouslyFormattedCitation":"(Nuraini, 2021)"},"properties":{"noteIndex":0},"schema":"https://github.com/citation-style-language/schema/raw/master/csl-citation.json"}</w:instrText>
      </w:r>
      <w:r w:rsidRPr="00761D74">
        <w:rPr>
          <w:rFonts w:ascii="Book Antiqua" w:hAnsi="Book Antiqua" w:hint="default"/>
          <w:sz w:val="20"/>
          <w:shd w:val="clear" w:color="auto" w:fill="FFFFFF"/>
        </w:rPr>
        <w:fldChar w:fldCharType="separate"/>
      </w:r>
      <w:r w:rsidRPr="00761D74">
        <w:rPr>
          <w:rFonts w:ascii="Book Antiqua" w:hAnsi="Book Antiqua" w:hint="default"/>
          <w:noProof/>
          <w:sz w:val="20"/>
          <w:shd w:val="clear" w:color="auto" w:fill="FFFFFF"/>
        </w:rPr>
        <w:t xml:space="preserve">(Nuraini, 2021) </w:t>
      </w:r>
      <w:r w:rsidRPr="00761D74">
        <w:rPr>
          <w:rFonts w:ascii="Book Antiqua" w:hAnsi="Book Antiqua" w:hint="default"/>
          <w:sz w:val="20"/>
          <w:shd w:val="clear" w:color="auto" w:fill="FFFFFF"/>
        </w:rPr>
        <w:fldChar w:fldCharType="end"/>
      </w:r>
      <w:r w:rsidRPr="00761D74">
        <w:rPr>
          <w:rFonts w:ascii="Book Antiqua" w:hAnsi="Book Antiqua" w:hint="default"/>
          <w:sz w:val="20"/>
          <w:shd w:val="clear" w:color="auto" w:fill="FFFFFF"/>
        </w:rPr>
        <w:t>.</w:t>
      </w:r>
    </w:p>
    <w:p w:rsidR="000509D5" w:rsidRPr="000509D5" w:rsidRDefault="00761D74" w:rsidP="000509D5">
      <w:pPr>
        <w:pStyle w:val="ListParagraph"/>
        <w:widowControl/>
        <w:numPr>
          <w:ilvl w:val="3"/>
          <w:numId w:val="1"/>
        </w:numPr>
        <w:spacing w:after="0" w:line="360" w:lineRule="auto"/>
        <w:ind w:left="284" w:hanging="360"/>
        <w:jc w:val="both"/>
        <w:rPr>
          <w:rFonts w:ascii="Book Antiqua" w:hAnsi="Book Antiqua" w:hint="default"/>
          <w:b/>
          <w:sz w:val="20"/>
        </w:rPr>
      </w:pPr>
      <w:r w:rsidRPr="00761D74">
        <w:rPr>
          <w:rFonts w:ascii="Book Antiqua" w:hAnsi="Book Antiqua" w:hint="default"/>
          <w:b/>
          <w:sz w:val="20"/>
        </w:rPr>
        <w:t>Parity</w:t>
      </w:r>
      <w:bookmarkStart w:id="3" w:name="_Hlk177906513"/>
      <w:r w:rsidRPr="00761D74">
        <w:rPr>
          <w:rFonts w:hint="default"/>
          <w:b/>
          <w:sz w:val="20"/>
        </w:rPr>
        <w:t>​</w:t>
      </w:r>
    </w:p>
    <w:p w:rsidR="00761D74" w:rsidRPr="000509D5" w:rsidRDefault="00761D74" w:rsidP="000509D5">
      <w:pPr>
        <w:widowControl/>
        <w:spacing w:after="0" w:line="360" w:lineRule="auto"/>
        <w:ind w:left="284" w:firstLine="496"/>
        <w:jc w:val="both"/>
        <w:rPr>
          <w:rFonts w:ascii="Book Antiqua" w:hAnsi="Book Antiqua" w:hint="default"/>
          <w:b/>
          <w:sz w:val="20"/>
        </w:rPr>
      </w:pPr>
      <w:r w:rsidRPr="000509D5">
        <w:rPr>
          <w:rFonts w:ascii="Book Antiqua" w:hAnsi="Book Antiqua" w:hint="default"/>
          <w:sz w:val="20"/>
        </w:rPr>
        <w:t xml:space="preserve">The results of the study showed that more respondents had gravida in the primigravida category, namely 30 respondents (54.5%) compared to multigravida, but there was not much difference, only 5 respondents (9%). According to </w:t>
      </w:r>
      <w:r w:rsidRPr="000509D5">
        <w:rPr>
          <w:rFonts w:ascii="Book Antiqua" w:hAnsi="Book Antiqua" w:hint="default"/>
          <w:sz w:val="20"/>
        </w:rPr>
        <w:fldChar w:fldCharType="begin" w:fldLock="1"/>
      </w:r>
      <w:r w:rsidRPr="000509D5">
        <w:rPr>
          <w:rFonts w:ascii="Book Antiqua" w:hAnsi="Book Antiqua" w:hint="default"/>
          <w:sz w:val="20"/>
        </w:rPr>
        <w:instrText>ADDIN CSL_CITATION {"citationItems":[{"id":"ITEM-1","itemData":{"DOI":"10.33096/fmj.v1i1.11","ISBN":"0852554974","abstract":"Preeklampsia adalah sindrom klinis pada masa kehamilan setelah kehamilan 20 minggu yang ditandai dengan peningkatan tekanan darah &gt;140/90 mmHg. Faktor resiko terjadinya preeklamsia adalah usia, nulliparitas, riwayat preeklamsia sebelumnya, riwayat penyakit hipertensi dan diabetes melitus, riwayat keluarga dan obesitas. Beberapa teori mengemukakan tentang bagaimana terjadinya preeklampsia antara lain teori genetik, teori iskemia uteroplasenter, teori kerusakan endotel pembuluh darah. Tujuan dari literature review ini bertujuan untuk mengetahui hasil luaran bayi pada ibu yang mengalami preeklampsia. Jenis penelitian ini menggunakan literature review dengan desain narrative review yaitu mencari artikel yang membahas tentang hasil luaran bayi pada ibu yang mengalami preeklampsia yang telah dipublikasikan pada jurnal dari tahun 2017-2020.  Jurnal dipilih berdasarkan kriteria inklusi dan eksklusi yang telah ditetapkan sebelumnya. Berdasarkan telaah dari beberapa jurnal, didapatkan hasil luaran bayi pada ibu yang mengalami preeklampsia adalah bayi kurang bulan kecil masa kehamilan (KMK), bayi kurang bulan sesuai masa kehamilan (SMK), dan asfiksia.","author":[{"dropping-particle":"","family":"Zamaun","given":"Nurlana","non-dropping-particle":"","parse-names":false,"suffix":""},{"dropping-particle":"","family":"Dewi","given":"Anna Sari","non-dropping-particle":"","parse-names":false,"suffix":""},{"dropping-particle":"","family":"Syamsu","given":"Rachmat Faisal","non-dropping-particle":"","parse-names":false,"suffix":""},{"dropping-particle":"","family":"Mappaware","given":"Nasrudin Andi","non-dropping-particle":"","parse-names":false,"suffix":""},{"dropping-particle":"","family":"Arfah","given":"Arni Isnaini","non-dropping-particle":"","parse-names":false,"suffix":""}],"container-title":"FAKUMI MEDICAL JOURNAL: Jurnal Mahasiswa Kedokteran","id":"ITEM-1","issue":"1","issued":{"date-parts":[["2021"]]},"page":"73-79","title":"Hasil Luaran Bayi Pada Ibu Hamil Yang Mengalami Preeklampsia","type":"article-journal","volume":"1"},"uris":["http://www.mendeley.com/documents/?uuid=2da451ca-3747-4341-a5ee-66ccc395bce1"]}],"mendeley":{"formattedCitation":"(Zamaun et al., 2021)","manualFormatting":"(Cunningham et al., 2018)","plainTextFormattedCitation":"(Zamaun et al., 2021)","previouslyFormattedCitation":"(Zamaun et al., 2021)"},"properties":{"noteIndex":0},"schema":"https://github.com/citation-style-language/schema/raw/master/csl-citation.json"}</w:instrText>
      </w:r>
      <w:r w:rsidRPr="000509D5">
        <w:rPr>
          <w:rFonts w:ascii="Book Antiqua" w:hAnsi="Book Antiqua" w:hint="default"/>
          <w:sz w:val="20"/>
        </w:rPr>
        <w:fldChar w:fldCharType="separate"/>
      </w:r>
      <w:r w:rsidRPr="000509D5">
        <w:rPr>
          <w:rFonts w:ascii="Book Antiqua" w:hAnsi="Book Antiqua" w:hint="default"/>
          <w:noProof/>
          <w:sz w:val="20"/>
        </w:rPr>
        <w:t xml:space="preserve">(Cunningham et al., 2018) </w:t>
      </w:r>
      <w:r w:rsidRPr="000509D5">
        <w:rPr>
          <w:rFonts w:ascii="Book Antiqua" w:hAnsi="Book Antiqua" w:hint="default"/>
          <w:sz w:val="20"/>
        </w:rPr>
        <w:fldChar w:fldCharType="end"/>
      </w:r>
      <w:r w:rsidRPr="000509D5">
        <w:rPr>
          <w:rFonts w:ascii="Book Antiqua" w:hAnsi="Book Antiqua" w:hint="default"/>
          <w:sz w:val="20"/>
        </w:rPr>
        <w:t xml:space="preserve">, one of the risk factors for preeclampsia is primigravida which has a 3 times greater risk of preeclampsia compared to multigravida. This is in line with the immunological theory that in the first pregnancy, blocking antibodies are formed against antigens whose results are not perfect, so that they can inhibit the process of invasion of the mother's spiral arteries by trophoblasts to a certain extent so that as a result it can interfere with placental function. Reduced secretion of the vasodilator prostacyclin by placental endothelial cells and increased breakthrough secretion cause a decrease in generalized vasoconstriction and aldosterone secretion. This is the cause of the increasing incidence of preeclampsia </w:t>
      </w:r>
      <w:r w:rsidRPr="000509D5">
        <w:rPr>
          <w:rFonts w:ascii="Book Antiqua" w:hAnsi="Book Antiqua" w:hint="default"/>
          <w:sz w:val="20"/>
        </w:rPr>
        <w:fldChar w:fldCharType="begin" w:fldLock="1"/>
      </w:r>
      <w:r w:rsidRPr="000509D5">
        <w:rPr>
          <w:rFonts w:ascii="Book Antiqua" w:hAnsi="Book Antiqua" w:hint="default"/>
          <w:sz w:val="20"/>
        </w:rPr>
        <w:instrText>ADDIN CSL_CITATION {"citationItems":[{"id":"ITEM-1","itemData":{"author":[{"dropping-particle":"","family":"Putri","given":"","non-dropping-particle":"","parse-names":false,"suffix":""},{"dropping-particle":"","family":"Puspitaningrum","given":"","non-dropping-particle":"","parse-names":false,"suffix":""}],"id":"ITEM-1","issued":{"date-parts":[["2020"]]},"page":"2652-2661","title":"Eklamsia Pada Ibu Hamil Di Rsia Annisa Kota Jambi","type":"article-journal","volume":"5"},"uris":["http://www.mendeley.com/documents/?uuid=3ec30d20-87e1-45e4-845c-425859bc1fd1"]}],"mendeley":{"formattedCitation":"(Putri &amp; Puspitaningrum, 2020)","plainTextFormattedCitation":"(Putri &amp; Puspitaningrum, 2020)","previouslyFormattedCitation":"(Putri &amp; Puspitaningrum, 2020)"},"properties":{"noteIndex":0},"schema":"https://github.com/citation-style-language/schema/raw/master/csl-citation.json"}</w:instrText>
      </w:r>
      <w:r w:rsidRPr="000509D5">
        <w:rPr>
          <w:rFonts w:ascii="Book Antiqua" w:hAnsi="Book Antiqua" w:hint="default"/>
          <w:sz w:val="20"/>
        </w:rPr>
        <w:fldChar w:fldCharType="separate"/>
      </w:r>
      <w:r w:rsidRPr="000509D5">
        <w:rPr>
          <w:rFonts w:ascii="Book Antiqua" w:hAnsi="Book Antiqua" w:hint="default"/>
          <w:noProof/>
          <w:sz w:val="20"/>
        </w:rPr>
        <w:t xml:space="preserve">(Putri &amp; Puspitaningrum, 2020) </w:t>
      </w:r>
      <w:r w:rsidRPr="000509D5">
        <w:rPr>
          <w:rFonts w:ascii="Book Antiqua" w:hAnsi="Book Antiqua" w:hint="default"/>
          <w:sz w:val="20"/>
        </w:rPr>
        <w:fldChar w:fldCharType="end"/>
      </w:r>
      <w:r w:rsidRPr="000509D5">
        <w:rPr>
          <w:rFonts w:ascii="Book Antiqua" w:hAnsi="Book Antiqua" w:hint="default"/>
          <w:sz w:val="20"/>
        </w:rPr>
        <w:t>.</w:t>
      </w:r>
    </w:p>
    <w:p w:rsidR="00761D74" w:rsidRPr="00761D74" w:rsidRDefault="00761D74" w:rsidP="00B7129B">
      <w:pPr>
        <w:pStyle w:val="ListParagraph"/>
        <w:widowControl/>
        <w:numPr>
          <w:ilvl w:val="0"/>
          <w:numId w:val="1"/>
        </w:numPr>
        <w:spacing w:after="0" w:line="360" w:lineRule="auto"/>
        <w:ind w:left="284" w:hanging="360"/>
        <w:jc w:val="both"/>
        <w:rPr>
          <w:rFonts w:ascii="Book Antiqua" w:hAnsi="Book Antiqua" w:hint="default"/>
          <w:b/>
          <w:sz w:val="20"/>
        </w:rPr>
      </w:pPr>
      <w:r w:rsidRPr="00761D74">
        <w:rPr>
          <w:rFonts w:ascii="Book Antiqua" w:hAnsi="Book Antiqua" w:hint="default"/>
          <w:b/>
          <w:sz w:val="20"/>
        </w:rPr>
        <w:t>History of Preeclampsia</w:t>
      </w:r>
    </w:p>
    <w:p w:rsidR="00761D74" w:rsidRPr="00761D74" w:rsidRDefault="00761D74" w:rsidP="00B7129B">
      <w:pPr>
        <w:spacing w:after="0" w:line="360" w:lineRule="auto"/>
        <w:ind w:left="284" w:firstLine="420"/>
        <w:jc w:val="both"/>
        <w:rPr>
          <w:rFonts w:ascii="Book Antiqua" w:hAnsi="Book Antiqua" w:hint="default"/>
          <w:b/>
          <w:sz w:val="20"/>
        </w:rPr>
      </w:pPr>
      <w:r w:rsidRPr="00761D74">
        <w:rPr>
          <w:rFonts w:ascii="Book Antiqua" w:hAnsi="Book Antiqua" w:hint="default"/>
          <w:sz w:val="20"/>
        </w:rPr>
        <w:t xml:space="preserve">Based on the data from the study listed in table 4.2, the characteristics of pregnant women based on a history of preeclampsia, it was found that there were still 5 respondents (9.1%) who had a history of preeclampsia. Previous </w:t>
      </w:r>
      <w:bookmarkStart w:id="4" w:name="_Hlk177906704"/>
      <w:r w:rsidRPr="00761D74">
        <w:rPr>
          <w:rFonts w:ascii="Book Antiqua" w:hAnsi="Book Antiqua" w:hint="default"/>
          <w:sz w:val="20"/>
        </w:rPr>
        <w:t xml:space="preserve">preeclampsia </w:t>
      </w:r>
      <w:r w:rsidRPr="00761D74">
        <w:rPr>
          <w:rFonts w:ascii="Book Antiqua" w:hAnsi="Book Antiqua" w:hint="default"/>
          <w:sz w:val="20"/>
          <w:shd w:val="clear" w:color="auto" w:fill="FFFFFF"/>
        </w:rPr>
        <w:t xml:space="preserve">is a risk factor for preeclampsia, possibly due to the inability of the cardiovascular system to recover from previous preeclampsia, so that when women experience recurrent preeclampsia, it will be worse than those who do not have a history of previous preeclampsia </w:t>
      </w:r>
      <w:r w:rsidRPr="00761D74">
        <w:rPr>
          <w:rFonts w:ascii="Book Antiqua" w:hAnsi="Book Antiqua" w:hint="default"/>
          <w:sz w:val="20"/>
          <w:shd w:val="clear" w:color="auto" w:fill="FFFFFF"/>
        </w:rPr>
        <w:fldChar w:fldCharType="begin" w:fldLock="1"/>
      </w:r>
      <w:r w:rsidRPr="00761D74">
        <w:rPr>
          <w:rFonts w:ascii="Book Antiqua" w:hAnsi="Book Antiqua" w:hint="default"/>
          <w:sz w:val="20"/>
          <w:shd w:val="clear" w:color="auto" w:fill="FFFFFF"/>
        </w:rPr>
        <w:instrText>ADDIN CSL_CITATION {"citationItems":[{"id":"ITEM-1","itemData":{"abstract":"Campak merupakan penyakit infeksi disebabkan oleh virus campak dan sangat menular. Virus campak merupakan spesies virus RNA berantai tunggal negatif, berselubung, tidak bersegmen, termasuk dalam genus Morbillivirus di famili Paramyxoviridae. Penyakit campak di Indonesia menjadi masalah kesehatan yang harus ditangani karena kasusnya masih tinggi dan masih terdapat kejadian luar biasa (KLB). Virus campak menular melalui droplet atau partikel aerosol yang pada awalnya menginfeksi limfosit, sel dendritik, dan makrofag alveolar di saluran pernapasan. Masa penularan campak yaitu 4 hari sebelum ruam sampai 4 hari setelah munculnya ruam. Gejala pada campak diawali dengan demam tinggi, pilek, batuk, kehilangan nafsu makan, dan konjungtivitis. Penatalaksanaan pasien campak terdiri dari terapi suportif dan pemberian vitamin A. Pencegahan dilakukan dengan vaksinasi campak-gondong-rubella (MMR).","author":[{"dropping-particle":"","family":"Nuraini","given":"Putri","non-dropping-particle":"","parse-names":false,"suffix":""}],"container-title":"Jurnal Medika Hutama","id":"ITEM-1","issue":"01","issued":{"date-parts":[["2021"]]},"page":"1612-1615","title":"Faktor-Faktor Yang Berhubungan Dengan Kejadian Preeklampsia di RS H. Abdul Manap Kota Jambi","type":"article-journal","volume":"03"},"uris":["http://www.mendeley.com/documents/?uuid=c5e491d6-4f70-4aee-a87d-811edd3881c6"]}],"mendeley":{"formattedCitation":"(Nuraini, 2021)","plainTextFormattedCitation":"(Nuraini, 2021)","previouslyFormattedCitation":"(Nuraini, 2021)"},"properties":{"noteIndex":0},"schema":"https://github.com/citation-style-language/schema/raw/master/csl-citation.json"}</w:instrText>
      </w:r>
      <w:r w:rsidRPr="00761D74">
        <w:rPr>
          <w:rFonts w:ascii="Book Antiqua" w:hAnsi="Book Antiqua" w:hint="default"/>
          <w:sz w:val="20"/>
          <w:shd w:val="clear" w:color="auto" w:fill="FFFFFF"/>
        </w:rPr>
        <w:fldChar w:fldCharType="separate"/>
      </w:r>
      <w:r w:rsidRPr="00761D74">
        <w:rPr>
          <w:rFonts w:ascii="Book Antiqua" w:hAnsi="Book Antiqua" w:hint="default"/>
          <w:noProof/>
          <w:sz w:val="20"/>
          <w:shd w:val="clear" w:color="auto" w:fill="FFFFFF"/>
        </w:rPr>
        <w:t xml:space="preserve">(Nuraini, 2021) </w:t>
      </w:r>
      <w:r w:rsidRPr="00761D74">
        <w:rPr>
          <w:rFonts w:ascii="Book Antiqua" w:hAnsi="Book Antiqua" w:hint="default"/>
          <w:sz w:val="20"/>
          <w:shd w:val="clear" w:color="auto" w:fill="FFFFFF"/>
        </w:rPr>
        <w:fldChar w:fldCharType="end"/>
      </w:r>
      <w:r w:rsidRPr="00761D74">
        <w:rPr>
          <w:rFonts w:ascii="Book Antiqua" w:hAnsi="Book Antiqua" w:hint="default"/>
          <w:sz w:val="20"/>
          <w:shd w:val="clear" w:color="auto" w:fill="FFFFFF"/>
        </w:rPr>
        <w:t>.</w:t>
      </w:r>
      <w:bookmarkEnd w:id="4"/>
    </w:p>
    <w:p w:rsidR="00761D74" w:rsidRPr="00761D74" w:rsidRDefault="00761D74" w:rsidP="00B7129B">
      <w:pPr>
        <w:pStyle w:val="ListParagraph"/>
        <w:widowControl/>
        <w:numPr>
          <w:ilvl w:val="0"/>
          <w:numId w:val="1"/>
        </w:numPr>
        <w:spacing w:after="0" w:line="360" w:lineRule="auto"/>
        <w:ind w:left="284" w:hanging="360"/>
        <w:jc w:val="both"/>
        <w:rPr>
          <w:rFonts w:ascii="Book Antiqua" w:hAnsi="Book Antiqua" w:hint="default"/>
          <w:b/>
          <w:sz w:val="20"/>
        </w:rPr>
      </w:pPr>
      <w:r w:rsidRPr="00761D74">
        <w:rPr>
          <w:rFonts w:ascii="Book Antiqua" w:hAnsi="Book Antiqua" w:hint="default"/>
          <w:b/>
          <w:sz w:val="20"/>
        </w:rPr>
        <w:t>Education</w:t>
      </w:r>
    </w:p>
    <w:p w:rsidR="00761D74" w:rsidRPr="00761D74" w:rsidRDefault="00761D74" w:rsidP="00B7129B">
      <w:pPr>
        <w:spacing w:after="0" w:line="360" w:lineRule="auto"/>
        <w:ind w:left="284" w:firstLine="420"/>
        <w:jc w:val="both"/>
        <w:rPr>
          <w:rFonts w:ascii="Book Antiqua" w:hAnsi="Book Antiqua" w:hint="default"/>
          <w:b/>
          <w:sz w:val="20"/>
        </w:rPr>
      </w:pPr>
      <w:r w:rsidRPr="00761D74">
        <w:rPr>
          <w:rFonts w:ascii="Book Antiqua" w:hAnsi="Book Antiqua" w:hint="default"/>
          <w:sz w:val="20"/>
        </w:rPr>
        <w:t>The results of this study show that there were 12 respondents (21.8%) who had a low level of education and 24 respondents (43.6%) who had a high level of education.</w:t>
      </w:r>
      <w:r w:rsidRPr="00761D74">
        <w:rPr>
          <w:rFonts w:ascii="Book Antiqua" w:hAnsi="Book Antiqua" w:hint="default"/>
          <w:b/>
          <w:bCs/>
          <w:sz w:val="20"/>
        </w:rPr>
        <w:t xml:space="preserve"> </w:t>
      </w:r>
      <w:r w:rsidRPr="00761D74">
        <w:rPr>
          <w:rFonts w:ascii="Book Antiqua" w:hAnsi="Book Antiqua" w:hint="default"/>
          <w:sz w:val="20"/>
        </w:rPr>
        <w:t xml:space="preserve">Education is an indicator that can affect the quality of their health. Through the level of education, mothers can understand the information they obtain, especially information on maternal and child health </w:t>
      </w:r>
      <w:r w:rsidRPr="00761D74">
        <w:rPr>
          <w:rFonts w:ascii="Book Antiqua" w:hAnsi="Book Antiqua" w:hint="default"/>
          <w:sz w:val="20"/>
        </w:rPr>
        <w:fldChar w:fldCharType="begin" w:fldLock="1"/>
      </w:r>
      <w:r w:rsidRPr="00761D74">
        <w:rPr>
          <w:rFonts w:ascii="Book Antiqua" w:hAnsi="Book Antiqua" w:hint="default"/>
          <w:sz w:val="20"/>
        </w:rPr>
        <w:instrText>ADDIN CSL_CITATION {"citationItems":[{"id":"ITEM-1","itemData":{"author":[{"dropping-particle":"","family":"Rahmadiani","given":"Yeni","non-dropping-particle":"","parse-names":false,"suffix":""},{"dropping-particle":"","family":"Azissah","given":"Danur","non-dropping-particle":"","parse-names":false,"suffix":""},{"dropping-particle":"","family":"Habibi","given":"Julius","non-dropping-particle":"","parse-names":false,"suffix":""}],"container-title":"Jurnal Kebidanan Manna","id":"ITEM-1","issue":"1","issued":{"date-parts":[["2023"]]},"page":"23-34","title":"Faktor Yang Berhubungan Dengan Kejadian Pre-Eklampsia Pada Ibu Hamil Di RSUD Rupit Factors Associated with the Incidence of Pre-Eclampsia in Pregnant Women at Rupit Hospital","type":"article-journal","volume":"2"},"uris":["http://www.mendeley.com/documents/?uuid=5b7ac46e-a7d4-4f95-8c8e-f735901801ff"]}],"mendeley":{"formattedCitation":"(Rahmadiani et al., 2023)","plainTextFormattedCitation":"(Rahmadiani et al., 2023)","previouslyFormattedCitation":"(Rahmadiani et al., 2023)"},"properties":{"noteIndex":0},"schema":"https://github.com/citation-style-language/schema/raw/master/csl-citation.json"}</w:instrText>
      </w:r>
      <w:r w:rsidRPr="00761D74">
        <w:rPr>
          <w:rFonts w:ascii="Book Antiqua" w:hAnsi="Book Antiqua" w:hint="default"/>
          <w:sz w:val="20"/>
        </w:rPr>
        <w:fldChar w:fldCharType="separate"/>
      </w:r>
      <w:r w:rsidRPr="00761D74">
        <w:rPr>
          <w:rFonts w:ascii="Book Antiqua" w:hAnsi="Book Antiqua" w:hint="default"/>
          <w:noProof/>
          <w:sz w:val="20"/>
        </w:rPr>
        <w:t xml:space="preserve">(Rahmadiani et al., 2023) </w:t>
      </w:r>
      <w:r w:rsidRPr="00761D74">
        <w:rPr>
          <w:rFonts w:ascii="Book Antiqua" w:hAnsi="Book Antiqua" w:hint="default"/>
          <w:sz w:val="20"/>
        </w:rPr>
        <w:fldChar w:fldCharType="end"/>
      </w:r>
      <w:r w:rsidRPr="00761D74">
        <w:rPr>
          <w:rFonts w:ascii="Book Antiqua" w:hAnsi="Book Antiqua" w:hint="default"/>
          <w:sz w:val="20"/>
        </w:rPr>
        <w:t>.</w:t>
      </w:r>
      <w:bookmarkStart w:id="5" w:name="_Hlk177906762"/>
    </w:p>
    <w:p w:rsidR="00761D74" w:rsidRPr="00761D74" w:rsidRDefault="00761D74" w:rsidP="00B7129B">
      <w:pPr>
        <w:spacing w:after="0" w:line="360" w:lineRule="auto"/>
        <w:ind w:left="284" w:firstLine="420"/>
        <w:jc w:val="both"/>
        <w:rPr>
          <w:rFonts w:ascii="Book Antiqua" w:hAnsi="Book Antiqua" w:hint="default"/>
          <w:b/>
          <w:sz w:val="20"/>
        </w:rPr>
      </w:pPr>
      <w:r w:rsidRPr="00761D74">
        <w:rPr>
          <w:rFonts w:ascii="Book Antiqua" w:hAnsi="Book Antiqua" w:hint="default"/>
          <w:sz w:val="20"/>
        </w:rPr>
        <w:t xml:space="preserve">The mother's last education can affect the mother's knowledge of diet and pregnancy check-up visits to be able to detect preeclampsia early so that on the other hand, mothers with a high level of education will find it easy to receive and process information, so that it will be easy to behave in good health. </w:t>
      </w:r>
      <w:bookmarkEnd w:id="5"/>
      <w:r w:rsidRPr="00761D74">
        <w:rPr>
          <w:rFonts w:ascii="Book Antiqua" w:hAnsi="Book Antiqua" w:hint="default"/>
          <w:sz w:val="20"/>
        </w:rPr>
        <w:t xml:space="preserve">Acceptance and understanding of information received by someone who has a high level of education will be better than someone with a low level of education </w:t>
      </w:r>
      <w:r w:rsidRPr="00761D74">
        <w:rPr>
          <w:rFonts w:ascii="Book Antiqua" w:hAnsi="Book Antiqua" w:hint="default"/>
          <w:sz w:val="20"/>
        </w:rPr>
        <w:fldChar w:fldCharType="begin" w:fldLock="1"/>
      </w:r>
      <w:r w:rsidRPr="00761D74">
        <w:rPr>
          <w:rFonts w:ascii="Book Antiqua" w:hAnsi="Book Antiqua" w:hint="default"/>
          <w:sz w:val="20"/>
        </w:rPr>
        <w:instrText>ADDIN CSL_CITATION {"citationItems":[{"id":"ITEM-1","itemData":{"DOI":"10.52264/jurnal_stikesalqodiri.v8i1.237","ISSN":"2502-5635","abstract":"Pendahuluan: Tingginya masalah kesehatan terutama pada ibu hamil menjadi penyebab kematian ibu. Kematian ibu yang dilaporkan secara global hingga regional salah satunya disebabkan oleh preeclampsia. Metode: Pendekatan pada penelitian menggunakan metode kuantitatif, dengan jenis observasional analitik serta desain yang digunakan cross sectional. Sampel penelitian sebanyak 30 orang, dengan teknik total sampling. Data dianalisis menggunakan uji chi square. Hasil dan pembahasan: Hasil analisis menunjukkan ada pengaruh antara tingkat pendidikan dan pengetahuan terhadap kejadian preeclampsia. Pendidikan berbanding lurus dengan pengetahuan. Pengetahuan yang baik pada seseorang dilatarbelakangi oleh pendidikan yang tinggi. Pendidikan dan pengetahuan yang baik akan mempengaruhi perilaku kesehatan Kesimpulan: Ada pengaruh pada pendidikan terakhir dan pengetahuan terhadap kejadian preeclampsia. Penelitian selanjutnya dapat mengkaji parietas dan frekuensi kunjungan ANC merupakan salah satu menurunkan risiko preeclampsia.","author":[{"dropping-particle":"","family":"Erisa","given":"Yuniardiningsi","non-dropping-particle":"","parse-names":false,"suffix":""},{"dropping-particle":"","family":"Yuri","given":"Wardatul","non-dropping-particle":"","parse-names":false,"suffix":""}],"container-title":"Medical Jurnal of Al-Qodiri","id":"ITEM-1","issue":"1","issued":{"date-parts":[["2023"]]},"page":"70-74","title":"Pengaruh Tingkat Pendidikan Dan Pengetahuan Terhadap Kejadian Preeklampsia","type":"article-journal","volume":"8"},"uris":["http://www.mendeley.com/documents/?uuid=c00f4adb-67ed-426c-9903-f2f989c548c1"]}],"mendeley":{"formattedCitation":"(Erisa &amp; Yuri, 2023)","plainTextFormattedCitation":"(Erisa &amp; Yuri, 2023)","previouslyFormattedCitation":"(Erisa &amp; Yuri, 2023)"},"properties":{"noteIndex":0},"schema":"https://github.com/citation-style-language/schema/raw/master/csl-citation.json"}</w:instrText>
      </w:r>
      <w:r w:rsidRPr="00761D74">
        <w:rPr>
          <w:rFonts w:ascii="Book Antiqua" w:hAnsi="Book Antiqua" w:hint="default"/>
          <w:sz w:val="20"/>
        </w:rPr>
        <w:fldChar w:fldCharType="separate"/>
      </w:r>
      <w:r w:rsidRPr="00761D74">
        <w:rPr>
          <w:rFonts w:ascii="Book Antiqua" w:hAnsi="Book Antiqua" w:hint="default"/>
          <w:noProof/>
          <w:sz w:val="20"/>
        </w:rPr>
        <w:t xml:space="preserve">(Erisa &amp; Yuri, 2023) </w:t>
      </w:r>
      <w:r w:rsidRPr="00761D74">
        <w:rPr>
          <w:rFonts w:ascii="Book Antiqua" w:hAnsi="Book Antiqua" w:hint="default"/>
          <w:sz w:val="20"/>
        </w:rPr>
        <w:fldChar w:fldCharType="end"/>
      </w:r>
      <w:r w:rsidRPr="00761D74">
        <w:rPr>
          <w:rFonts w:ascii="Book Antiqua" w:hAnsi="Book Antiqua" w:hint="default"/>
          <w:sz w:val="20"/>
        </w:rPr>
        <w:t>.</w:t>
      </w:r>
    </w:p>
    <w:p w:rsidR="00761D74" w:rsidRPr="00761D74" w:rsidRDefault="00761D74" w:rsidP="00B7129B">
      <w:pPr>
        <w:pStyle w:val="ListParagraph"/>
        <w:widowControl/>
        <w:numPr>
          <w:ilvl w:val="0"/>
          <w:numId w:val="1"/>
        </w:numPr>
        <w:spacing w:after="0" w:line="360" w:lineRule="auto"/>
        <w:ind w:left="284" w:hanging="360"/>
        <w:jc w:val="both"/>
        <w:rPr>
          <w:rFonts w:ascii="Book Antiqua" w:hAnsi="Book Antiqua" w:hint="default"/>
          <w:b/>
          <w:sz w:val="20"/>
        </w:rPr>
      </w:pPr>
      <w:r w:rsidRPr="00761D74">
        <w:rPr>
          <w:rFonts w:ascii="Book Antiqua" w:hAnsi="Book Antiqua" w:hint="default"/>
          <w:b/>
          <w:sz w:val="20"/>
        </w:rPr>
        <w:t>Work</w:t>
      </w:r>
    </w:p>
    <w:p w:rsidR="00B7129B" w:rsidRDefault="00761D74" w:rsidP="00B7129B">
      <w:pPr>
        <w:spacing w:after="0" w:line="360" w:lineRule="auto"/>
        <w:ind w:left="284" w:firstLine="420"/>
        <w:jc w:val="both"/>
        <w:rPr>
          <w:rFonts w:ascii="Book Antiqua" w:hAnsi="Book Antiqua" w:hint="default"/>
          <w:b/>
          <w:sz w:val="20"/>
        </w:rPr>
      </w:pPr>
      <w:r w:rsidRPr="00761D74">
        <w:rPr>
          <w:rFonts w:ascii="Book Antiqua" w:hAnsi="Book Antiqua" w:hint="default"/>
          <w:sz w:val="20"/>
        </w:rPr>
        <w:t xml:space="preserve">Based on table 4.2, it can be seen that the respondents with the largest type of work are housewives, namely 31 respondents (56.4%). A person's work activities greatly affect muscle activity and blood flow. This also happens to a pregnant woman, where blood circulation in the limbs can experience various changes along with increasing gestational age due to the enlargement of body parts such as the uterus. This will affect the performance of the heart in adapting during the pregnancy process. The results of other studies state that there is a relationship between the type of work of housewives and the incidence of preeclampsia </w:t>
      </w:r>
      <w:r w:rsidRPr="00761D74">
        <w:rPr>
          <w:rFonts w:ascii="Book Antiqua" w:hAnsi="Book Antiqua" w:hint="default"/>
          <w:sz w:val="20"/>
        </w:rPr>
        <w:fldChar w:fldCharType="begin" w:fldLock="1"/>
      </w:r>
      <w:r w:rsidRPr="00761D74">
        <w:rPr>
          <w:rFonts w:ascii="Book Antiqua" w:hAnsi="Book Antiqua" w:hint="default"/>
          <w:sz w:val="20"/>
        </w:rPr>
        <w:instrText>ADDIN CSL_CITATION {"citationItems":[{"id":"ITEM-1","itemData":{"author":[{"dropping-particle":"","family":"Rahmadiani","given":"Yeni","non-dropping-particle":"","parse-names":false,"suffix":""},{"dropping-particle":"","family":"Azissah","given":"Danur","non-dropping-particle":"","parse-names":false,"suffix":""},{"dropping-particle":"","family":"Habibi","given":"Julius","non-dropping-particle":"","parse-names":false,"suffix":""}],"container-title":"Jurnal Kebidanan Manna","id":"ITEM-1","issue":"1","issued":{"date-parts":[["2023"]]},"page":"23-34","title":"Faktor Yang Berhubungan Dengan Kejadian Pre-Eklampsia Pada Ibu Hamil Di RSUD Rupit Factors Associated with the Incidence of Pre-Eclampsia in Pregnant Women at Rupit Hospital","type":"article-journal","volume":"2"},"uris":["http://www.mendeley.com/documents/?uuid=5b7ac46e-a7d4-4f95-8c8e-f735901801ff"]}],"mendeley":{"formattedCitation":"(Rahmadiani et al., 2023)","plainTextFormattedCitation":"(Rahmadiani et al., 2023)","previouslyFormattedCitation":"(Rahmadiani et al., 2023)"},"properties":{"noteIndex":0},"schema":"https://github.com/citation-style-language/schema/raw/master/csl-citation.json"}</w:instrText>
      </w:r>
      <w:r w:rsidRPr="00761D74">
        <w:rPr>
          <w:rFonts w:ascii="Book Antiqua" w:hAnsi="Book Antiqua" w:hint="default"/>
          <w:sz w:val="20"/>
        </w:rPr>
        <w:fldChar w:fldCharType="separate"/>
      </w:r>
      <w:r w:rsidRPr="00761D74">
        <w:rPr>
          <w:rFonts w:ascii="Book Antiqua" w:hAnsi="Book Antiqua" w:hint="default"/>
          <w:noProof/>
          <w:sz w:val="20"/>
        </w:rPr>
        <w:t xml:space="preserve">(Rahmadiani et al., 2023) </w:t>
      </w:r>
      <w:r w:rsidRPr="00761D74">
        <w:rPr>
          <w:rFonts w:ascii="Book Antiqua" w:hAnsi="Book Antiqua" w:hint="default"/>
          <w:sz w:val="20"/>
        </w:rPr>
        <w:fldChar w:fldCharType="end"/>
      </w:r>
      <w:r w:rsidRPr="00761D74">
        <w:rPr>
          <w:rFonts w:ascii="Book Antiqua" w:hAnsi="Book Antiqua" w:hint="default"/>
          <w:sz w:val="20"/>
        </w:rPr>
        <w:t>.</w:t>
      </w:r>
    </w:p>
    <w:p w:rsidR="00761D74" w:rsidRPr="00B7129B" w:rsidRDefault="00761D74" w:rsidP="00B7129B">
      <w:pPr>
        <w:pStyle w:val="ListParagraph"/>
        <w:numPr>
          <w:ilvl w:val="0"/>
          <w:numId w:val="1"/>
        </w:numPr>
        <w:spacing w:after="0" w:line="360" w:lineRule="auto"/>
        <w:ind w:left="284" w:hanging="426"/>
        <w:jc w:val="both"/>
        <w:rPr>
          <w:rFonts w:ascii="Book Antiqua" w:hAnsi="Book Antiqua" w:hint="default"/>
          <w:b/>
          <w:sz w:val="20"/>
        </w:rPr>
      </w:pPr>
      <w:r w:rsidRPr="00B7129B">
        <w:rPr>
          <w:rFonts w:ascii="Book Antiqua" w:hAnsi="Book Antiqua" w:hint="default"/>
          <w:b/>
          <w:sz w:val="20"/>
        </w:rPr>
        <w:t>Level of knowledge</w:t>
      </w:r>
    </w:p>
    <w:p w:rsidR="00761D74" w:rsidRPr="00974890" w:rsidRDefault="00761D74" w:rsidP="00974890">
      <w:pPr>
        <w:spacing w:after="0" w:line="360" w:lineRule="auto"/>
        <w:ind w:left="284" w:firstLine="420"/>
        <w:jc w:val="both"/>
        <w:rPr>
          <w:rFonts w:ascii="Book Antiqua" w:hAnsi="Book Antiqua" w:hint="default"/>
          <w:sz w:val="20"/>
        </w:rPr>
      </w:pPr>
      <w:r w:rsidRPr="00761D74">
        <w:rPr>
          <w:rFonts w:ascii="Book Antiqua" w:hAnsi="Book Antiqua" w:hint="default"/>
          <w:sz w:val="20"/>
        </w:rPr>
        <w:t xml:space="preserve">The level of knowledge of pregnant women about preeclampsia as stated in table 4.3 shows that 31 respondents (56.4%) have good knowledge. The level of knowledge is very important because all changes that occur can be responded to appropriately if someone has knowledge. Through knowledge in pregnant women about preeclampsia, it will give rise to preeclampsia prevention behavior from anything that can trigger one of the treatments that can be done, namely early detection, through </w:t>
      </w:r>
      <w:r w:rsidRPr="00761D74">
        <w:rPr>
          <w:rFonts w:ascii="Book Antiqua" w:hAnsi="Book Antiqua" w:hint="default"/>
          <w:i/>
          <w:iCs/>
          <w:sz w:val="20"/>
        </w:rPr>
        <w:t xml:space="preserve">antenatal care </w:t>
      </w:r>
      <w:r w:rsidRPr="00761D74">
        <w:rPr>
          <w:rFonts w:ascii="Book Antiqua" w:hAnsi="Book Antiqua" w:hint="default"/>
          <w:sz w:val="20"/>
        </w:rPr>
        <w:t xml:space="preserve">(ANC) services or care which is a way to monitor and support the health of normal pregnant women and detect mothers with normal pregnancies so that they do not become abnormal </w:t>
      </w:r>
      <w:r w:rsidRPr="00761D74">
        <w:rPr>
          <w:rFonts w:ascii="Book Antiqua" w:hAnsi="Book Antiqua" w:hint="default"/>
          <w:sz w:val="20"/>
        </w:rPr>
        <w:fldChar w:fldCharType="begin" w:fldLock="1"/>
      </w:r>
      <w:r w:rsidRPr="00761D74">
        <w:rPr>
          <w:rFonts w:ascii="Book Antiqua" w:hAnsi="Book Antiqua" w:hint="default"/>
          <w:sz w:val="20"/>
        </w:rPr>
        <w:instrText>ADDIN CSL_CITATION {"citationItems":[{"id":"ITEM-1","itemData":{"DOI":"10.14710/hnhs.5.2.2022.94-101","abstract":"Introduction: Preeclampsia causes of the most maternal mortality rate in Indonesia. One of factors that lead to high rates of preeclampsia is the lack of knowledge of the mother. Low knowledge can result in mothers not being able to recognize the signs and symptoms of preeclampsia early. The study of maternal knowledge about preeclampsia in Eastern Indonesia is limited, so this study aims to determine the knowledge of primigravida mothers about preeclampsia in Eastern Indonesia.Methods: This research is quantitative descriptive. Respondents in this study were 90 primigravida mothers who did examinations at the Pratama Asy-Syfa clinic and the Ampenan health center in Mataram City. The sampling method used purposive sampling, data collection with questionnaires that had been tested for validity and reliability, and distributed through Whatsapp groups using google form.Results: The knowledge score with the knowledge level classification was good as many as 19 people (31.7%), 33 people (55%), and 8 people lacking (13,3%).Conclusion: Most of the primigravida mothers have sufficient knowledge but there are still those who have less knowledge, so efforts are needed to increase the knowledge of primigravida mothers about preeclampsia. Keywords: Pregnant Women, Knowledge, Attitude.","author":[{"dropping-particle":"","family":"Novyanti","given":"Baiq Mira","non-dropping-particle":"","parse-names":false,"suffix":""},{"dropping-particle":"","family":"Kristina","given":"Tri Nur","non-dropping-particle":"","parse-names":false,"suffix":""},{"dropping-particle":"","family":"Sudarmiati","given":"Sari","non-dropping-particle":"","parse-names":false,"suffix":""}],"container-title":"Holistic Nursing and Health Science","id":"ITEM-1","issue":"2","issued":{"date-parts":[["2022"]]},"page":"238-245","title":"Pengetahuan Ibu Hamil tentang Preeklamsia di Nusa Tenggara Barat","type":"article-journal","volume":"5"},"uris":["http://www.mendeley.com/documents/?uuid=62506cbe-1073-47b7-83f0-ed730cd3f555"]}],"mendeley":{"formattedCitation":"(Novyanti et al., 2022)","plainTextFormattedCitation":"(Novyanti et al., 2022)","previouslyFormattedCitation":"(Novyanti et al., 2022)"},"properties":{"noteIndex":0},"schema":"https://github.com/citation-style-language/schema/raw/master/csl-citation.json"}</w:instrText>
      </w:r>
      <w:r w:rsidRPr="00761D74">
        <w:rPr>
          <w:rFonts w:ascii="Book Antiqua" w:hAnsi="Book Antiqua" w:hint="default"/>
          <w:sz w:val="20"/>
        </w:rPr>
        <w:fldChar w:fldCharType="separate"/>
      </w:r>
      <w:r w:rsidRPr="00761D74">
        <w:rPr>
          <w:rFonts w:ascii="Book Antiqua" w:hAnsi="Book Antiqua" w:hint="default"/>
          <w:noProof/>
          <w:sz w:val="20"/>
        </w:rPr>
        <w:t xml:space="preserve">(Novyanti et al., 2022) </w:t>
      </w:r>
      <w:r w:rsidRPr="00761D74">
        <w:rPr>
          <w:rFonts w:ascii="Book Antiqua" w:hAnsi="Book Antiqua" w:hint="default"/>
          <w:sz w:val="20"/>
        </w:rPr>
        <w:fldChar w:fldCharType="end"/>
      </w:r>
    </w:p>
    <w:p w:rsidR="00B7129B" w:rsidRDefault="00761D74" w:rsidP="00B7129B">
      <w:pPr>
        <w:pStyle w:val="ListParagraph"/>
        <w:widowControl/>
        <w:numPr>
          <w:ilvl w:val="0"/>
          <w:numId w:val="1"/>
        </w:numPr>
        <w:spacing w:after="0" w:line="360" w:lineRule="auto"/>
        <w:ind w:left="284" w:hanging="360"/>
        <w:jc w:val="both"/>
        <w:rPr>
          <w:rFonts w:ascii="Book Antiqua" w:hAnsi="Book Antiqua" w:hint="default"/>
          <w:b/>
          <w:sz w:val="20"/>
        </w:rPr>
      </w:pPr>
      <w:r w:rsidRPr="00761D74">
        <w:rPr>
          <w:rFonts w:ascii="Book Antiqua" w:hAnsi="Book Antiqua" w:hint="default"/>
          <w:b/>
          <w:sz w:val="20"/>
        </w:rPr>
        <w:t>Preventive behavior</w:t>
      </w:r>
    </w:p>
    <w:p w:rsidR="00B7129B" w:rsidRDefault="00761D74" w:rsidP="00B7129B">
      <w:pPr>
        <w:widowControl/>
        <w:spacing w:after="0" w:line="360" w:lineRule="auto"/>
        <w:ind w:left="284" w:firstLine="496"/>
        <w:jc w:val="both"/>
        <w:rPr>
          <w:rFonts w:ascii="Book Antiqua" w:hAnsi="Book Antiqua" w:hint="default"/>
          <w:b/>
          <w:sz w:val="20"/>
        </w:rPr>
      </w:pPr>
      <w:r w:rsidRPr="00B7129B">
        <w:rPr>
          <w:rFonts w:ascii="Book Antiqua" w:hAnsi="Book Antiqua" w:hint="default"/>
          <w:sz w:val="20"/>
        </w:rPr>
        <w:t>Based on table 4.4, it shows that there are 32 respondents (58.2%) who have positive behavior.</w:t>
      </w:r>
      <w:r w:rsidRPr="00B7129B">
        <w:rPr>
          <w:rFonts w:ascii="Book Antiqua" w:hAnsi="Book Antiqua" w:hint="default"/>
          <w:b/>
          <w:bCs/>
          <w:sz w:val="20"/>
        </w:rPr>
        <w:t xml:space="preserve"> </w:t>
      </w:r>
      <w:r w:rsidRPr="00B7129B">
        <w:rPr>
          <w:rFonts w:ascii="Book Antiqua" w:hAnsi="Book Antiqua" w:hint="default"/>
          <w:sz w:val="20"/>
        </w:rPr>
        <w:t xml:space="preserve">Preeclampsia prevention behavior is behavior that can reduce the incidence and reduce the risk of preeclampsia in pregnant women. To be able to enforce this preventive behavior, regular supervision of pregnant women is needed by providing support and paying attention to weight gain, increased blood pressure and urine examination to determine proteinuria </w:t>
      </w:r>
      <w:r w:rsidRPr="00B7129B">
        <w:rPr>
          <w:rFonts w:ascii="Book Antiqua" w:hAnsi="Book Antiqua" w:hint="default"/>
          <w:sz w:val="20"/>
        </w:rPr>
        <w:fldChar w:fldCharType="begin" w:fldLock="1"/>
      </w:r>
      <w:r w:rsidRPr="00B7129B">
        <w:rPr>
          <w:rFonts w:ascii="Book Antiqua" w:hAnsi="Book Antiqua" w:hint="default"/>
          <w:sz w:val="20"/>
        </w:rPr>
        <w:instrText>ADDIN CSL_CITATION {"citationItems":[{"id":"ITEM-1","itemData":{"abstract":"Abstrak\nDukungan suami kepada istri pada masa kehamilan selama ini masih rendah bahkan ada yang sama sekali tidak mendapatkan dukungan dari suaminya. Dukungan suami merupakan salah satu faktor penguat yang dapat mempengaruhi seseorang dalam berperilaku.Dukungan suami yang baik dapat memberikan motivasi yang baik pada ibu hamil untuk memeriksakan kehamilannya. Tujuan penelitian ini adalah untuk mengetahui hubungan dukungan suami dengan perilaku pencegahan preeklamsia pada ibu hamil di Desa Glundengan Puskesmas Wuluhan Kabupaten Jember. Desain penelitian ini menggunakan kolerasional dengan pendekatan cross sectional. Populasi dalam penelitian ini sebanyak 128 ibu hamil dengan sampel penelitian yang diperoleh 96 responden melalui teknik pengambilan sampel random sampling. Analisis data menggunakan uji Spearman Rho. Hasil penelitian menunjukkan bahwa ada hubungan yang signifikan dari dukungan suami dengan perilaku pencegahan preeklamsia. Mayoritas (77,1%) responden yang mendapatkan dukungan suami optimal. Dan perilaku pencegahan preeklamsia mayoritas (66,7%) dalam kategori baik. Upaya yang bisa dilakukan untuk mencegah terjadinya preeklamsia pada ibu hamil adalah dengan dukungan dari keluarga terdekat yaitu dukungan suami.\n\nKata Kunci: Dukungan Suami, Perilaku Pencegahan Preeklamsia, Ibu Hamil","author":[{"dropping-particle":"","family":"Kurniawati","given":"Novi","non-dropping-particle":"","parse-names":false,"suffix":""}],"id":"ITEM-1","issued":{"date-parts":[["2022"]]},"page":"114","title":"Hubungan Dukungan Suami Dengan Perilaku Pencegahan Preeklamsia Pada Ibu Hamil  Di Desa Glundengan Puskesmas Wuluhan Kabupaten Jember","type":"article-journal"},"uris":["http://www.mendeley.com/documents/?uuid=54746454-197b-4a8b-90a6-400dbd8d1004"]}],"mendeley":{"formattedCitation":"(Kurniawati, 2022)","plainTextFormattedCitation":"(Kurniawati, 2022)","previouslyFormattedCitation":"(Kurniawati, 2022)"},"properties":{"noteIndex":0},"schema":"https://github.com/citation-style-language/schema/raw/master/csl-citation.json"}</w:instrText>
      </w:r>
      <w:r w:rsidRPr="00B7129B">
        <w:rPr>
          <w:rFonts w:ascii="Book Antiqua" w:hAnsi="Book Antiqua" w:hint="default"/>
          <w:sz w:val="20"/>
        </w:rPr>
        <w:fldChar w:fldCharType="separate"/>
      </w:r>
      <w:r w:rsidRPr="00B7129B">
        <w:rPr>
          <w:rFonts w:ascii="Book Antiqua" w:hAnsi="Book Antiqua" w:hint="default"/>
          <w:noProof/>
          <w:sz w:val="20"/>
        </w:rPr>
        <w:t xml:space="preserve">(Kurniawati, 2022) </w:t>
      </w:r>
      <w:r w:rsidRPr="00B7129B">
        <w:rPr>
          <w:rFonts w:ascii="Book Antiqua" w:hAnsi="Book Antiqua" w:hint="default"/>
          <w:sz w:val="20"/>
        </w:rPr>
        <w:fldChar w:fldCharType="end"/>
      </w:r>
      <w:r w:rsidRPr="00B7129B">
        <w:rPr>
          <w:rFonts w:ascii="Book Antiqua" w:hAnsi="Book Antiqua" w:hint="default"/>
          <w:sz w:val="20"/>
        </w:rPr>
        <w:t>.</w:t>
      </w:r>
      <w:bookmarkStart w:id="6" w:name="_Hlk177907142"/>
    </w:p>
    <w:p w:rsidR="000509D5" w:rsidRPr="00B7129B" w:rsidRDefault="00761D74" w:rsidP="00B7129B">
      <w:pPr>
        <w:widowControl/>
        <w:spacing w:after="0" w:line="360" w:lineRule="auto"/>
        <w:ind w:left="284" w:firstLine="496"/>
        <w:jc w:val="both"/>
        <w:rPr>
          <w:rFonts w:ascii="Book Antiqua" w:hAnsi="Book Antiqua" w:hint="default"/>
          <w:b/>
          <w:sz w:val="20"/>
        </w:rPr>
      </w:pPr>
      <w:r w:rsidRPr="00B7129B">
        <w:rPr>
          <w:rFonts w:ascii="Book Antiqua" w:hAnsi="Book Antiqua" w:hint="default"/>
          <w:sz w:val="20"/>
        </w:rPr>
        <w:t xml:space="preserve">Preventive behavior in preeclampsia can be said to be good if pregnant women have carried out preeclampsia prevention, namely primary prevention, such as diligently checking their pregnancy at least 4 times, namely 1 time each in the first and second trimesters, and 2 times in the third trimester, routinely checking blood pressure, and doing laboratory tests. Secondary prevention can be seen from the number of respondents who answered that they had enough rest, enough activity, and consumed good foods such as eating fruits and vegetables and reducing foods that are high in fat, salt, protein and taking vitamins during their pregnancy </w:t>
      </w:r>
      <w:r w:rsidRPr="00B7129B">
        <w:rPr>
          <w:rFonts w:ascii="Book Antiqua" w:hAnsi="Book Antiqua" w:hint="default"/>
          <w:sz w:val="20"/>
        </w:rPr>
        <w:fldChar w:fldCharType="begin" w:fldLock="1"/>
      </w:r>
      <w:r w:rsidRPr="00B7129B">
        <w:rPr>
          <w:rFonts w:ascii="Book Antiqua" w:hAnsi="Book Antiqua" w:hint="default"/>
          <w:sz w:val="20"/>
        </w:rPr>
        <w:instrText>ADDIN CSL_CITATION {"citationItems":[{"id":"ITEM-1","itemData":{"abstract":"Latar Belakang : Bahaya yang bisa terjadi saat kehamilan salah satunya adalah hipertensi atau bisa disebut preeklamsia. Ibu hamil yang mengalami preeklamsia beresiko kejang bahkan sampai meninggal dunia. Data dari Kemenkes tahun 2019 angka kematian ibu yang disebabkan oleh hipertensi di Indonesia masih sebesar 33,07%. Tahun 2030, dunia mendorong target penurunan angka kematian ibu harus di bawah 70 per 100.000 kelahiran hidup. Tujuan : Untuk mengetahui hubungan pengetahuan ibu hamil tentang preeklamsia terhadap pencegahan preeklamsia di RS Bhayangkara Tk. I Raden Said Sukanto. Metode : Menggunakan survei analitik dengan pendekatan cross sectional , pengambilan sampel yaitu simple random sampling dengan jumlah sampel 86 responden, penelitian dilakukan pada bulan Agustus – Semptember 2021. Data dianalisis menggunakan uji Chi Square . Hasil : Pengetahuan ibu hamil tentang preeklamsia baik sebanyak 53 (61.6%) dan memiliki pencegahan preeklamsia baik sebesar 65 (65,1%). Hasil uji statistik menyatakan ada hubungan antara pengetahuan ibu hamil tentang preeklamsia terhadap pencegahan preeklamsia. Saran : Sebaiknya setiap ibu hamil yang memeriksakan kehamilan ke poli obgyn diberikan edukasi kesehatan tentang preeklamsia. Ibu hamil diharapkan memiliki pengetahuan tentang preeklamsia, sehingga dapat mencegah terjadinya preeklamsia dan diharapakan angka kematian ibu akibat preeklamsia menurun. Kata Kunci : Ibu hamil, Pengetahuan, pencegahan, preeklamsia","author":[{"dropping-particle":"","family":"Medika Iis","given":"Aisyiyah I","non-dropping-particle":"","parse-names":false,"suffix":""},{"dropping-particle":"","family":"Candra","given":"Desi D","non-dropping-particle":"","parse-names":false,"suffix":""},{"dropping-particle":"","family":"Indriayani","given":"Iis","non-dropping-particle":"","parse-names":false,"suffix":""},{"dropping-particle":"","family":"Octavia","given":"Lia","non-dropping-particle":"","parse-names":false,"suffix":""},{"dropping-particle":"","family":"Candra Dewi","given":"Desi","non-dropping-particle":"","parse-names":false,"suffix":""},{"dropping-particle":"","family":"Susanti","given":"Fajar","non-dropping-particle":"","parse-names":false,"suffix":""}],"container-title":"Jurnal ‘Aisyiyah Medika","id":"ITEM-1","issued":{"date-parts":[["2023"]]},"page":"61-69","title":"Hubungan Pengetahuan Ibu Hamil Tentang Preeklamsia Terhadap Pencegahan Preeklamsia","type":"article-journal","volume":"8"},"uris":["http://www.mendeley.com/documents/?uuid=93e47b94-feed-4e8c-b287-665632a72010"]}],"mendeley":{"formattedCitation":"(Medika Iis et al., 2023)","plainTextFormattedCitation":"(Medika Iis et al., 2023)","previouslyFormattedCitation":"(Medika Iis et al., 2023)"},"properties":{"noteIndex":0},"schema":"https://github.com/citation-style-language/schema/raw/master/csl-citation.json"}</w:instrText>
      </w:r>
      <w:r w:rsidRPr="00B7129B">
        <w:rPr>
          <w:rFonts w:ascii="Book Antiqua" w:hAnsi="Book Antiqua" w:hint="default"/>
          <w:sz w:val="20"/>
        </w:rPr>
        <w:fldChar w:fldCharType="separate"/>
      </w:r>
      <w:r w:rsidRPr="00B7129B">
        <w:rPr>
          <w:rFonts w:ascii="Book Antiqua" w:hAnsi="Book Antiqua" w:hint="default"/>
          <w:noProof/>
          <w:sz w:val="20"/>
        </w:rPr>
        <w:t xml:space="preserve">(Medika Iis et al., 2023) </w:t>
      </w:r>
      <w:r w:rsidRPr="00B7129B">
        <w:rPr>
          <w:rFonts w:ascii="Book Antiqua" w:hAnsi="Book Antiqua" w:hint="default"/>
          <w:sz w:val="20"/>
        </w:rPr>
        <w:fldChar w:fldCharType="end"/>
      </w:r>
      <w:bookmarkEnd w:id="6"/>
      <w:r w:rsidRPr="00B7129B">
        <w:rPr>
          <w:rFonts w:ascii="Book Antiqua" w:hAnsi="Book Antiqua" w:hint="default"/>
          <w:sz w:val="20"/>
        </w:rPr>
        <w:t>.</w:t>
      </w:r>
      <w:bookmarkEnd w:id="3"/>
    </w:p>
    <w:p w:rsidR="000509D5" w:rsidRPr="00761D74" w:rsidRDefault="000509D5" w:rsidP="00761D74">
      <w:pPr>
        <w:pStyle w:val="ListParagraph"/>
        <w:spacing w:after="0" w:line="360" w:lineRule="auto"/>
        <w:ind w:firstLine="491"/>
        <w:jc w:val="both"/>
        <w:rPr>
          <w:rFonts w:ascii="Book Antiqua" w:hAnsi="Book Antiqua" w:hint="default"/>
          <w:sz w:val="20"/>
        </w:rPr>
      </w:pPr>
    </w:p>
    <w:p w:rsidR="00B7129B" w:rsidRPr="00B7129B" w:rsidRDefault="00761D74" w:rsidP="00B7129B">
      <w:pPr>
        <w:pStyle w:val="ListParagraph"/>
        <w:widowControl/>
        <w:numPr>
          <w:ilvl w:val="0"/>
          <w:numId w:val="18"/>
        </w:numPr>
        <w:spacing w:after="0" w:line="360" w:lineRule="auto"/>
        <w:ind w:left="142"/>
        <w:jc w:val="both"/>
        <w:rPr>
          <w:rFonts w:ascii="Book Antiqua" w:hAnsi="Book Antiqua" w:hint="default"/>
          <w:b/>
          <w:sz w:val="20"/>
        </w:rPr>
      </w:pPr>
      <w:r w:rsidRPr="00B7129B">
        <w:rPr>
          <w:rFonts w:ascii="Book Antiqua" w:hAnsi="Book Antiqua" w:hint="default"/>
          <w:b/>
          <w:bCs/>
          <w:sz w:val="20"/>
        </w:rPr>
        <w:t>Relationship between Level of Knowledge about Preeclampsia and Preeclampsia Prevention Behavior</w:t>
      </w:r>
    </w:p>
    <w:p w:rsidR="00B7129B" w:rsidRDefault="00761D74" w:rsidP="00B7129B">
      <w:pPr>
        <w:widowControl/>
        <w:spacing w:after="0" w:line="360" w:lineRule="auto"/>
        <w:ind w:left="142" w:firstLine="638"/>
        <w:jc w:val="both"/>
        <w:rPr>
          <w:rFonts w:ascii="Book Antiqua" w:hAnsi="Book Antiqua" w:hint="default"/>
          <w:b/>
          <w:sz w:val="20"/>
        </w:rPr>
      </w:pPr>
      <w:r w:rsidRPr="00B7129B">
        <w:rPr>
          <w:rFonts w:ascii="Book Antiqua" w:hAnsi="Book Antiqua" w:hint="default"/>
          <w:sz w:val="20"/>
        </w:rPr>
        <w:t xml:space="preserve">Based on the data analysis, it states that there is a relationship between the level of knowledge and preeclampsia prevention behavior. This is evidenced by the results of statistical analysis using the </w:t>
      </w:r>
      <w:r w:rsidRPr="00B7129B">
        <w:rPr>
          <w:rFonts w:ascii="Book Antiqua" w:hAnsi="Book Antiqua" w:hint="default"/>
          <w:i/>
          <w:iCs/>
          <w:sz w:val="20"/>
        </w:rPr>
        <w:t xml:space="preserve">Chi-Square test </w:t>
      </w:r>
      <w:r w:rsidRPr="00B7129B">
        <w:rPr>
          <w:rFonts w:ascii="Book Antiqua" w:hAnsi="Book Antiqua" w:hint="default"/>
          <w:sz w:val="20"/>
        </w:rPr>
        <w:t xml:space="preserve">with the results of the analysis with a significance value = 0.000 &lt;α (0.05 ) this shows a significant relationship between the level of knowledge of pregnant women about preeclampsia and preeclampsia prevention behavior. According to </w:t>
      </w:r>
      <w:r w:rsidRPr="00B7129B">
        <w:rPr>
          <w:rFonts w:ascii="Book Antiqua" w:hAnsi="Book Antiqua" w:hint="default"/>
          <w:sz w:val="20"/>
        </w:rPr>
        <w:fldChar w:fldCharType="begin" w:fldLock="1"/>
      </w:r>
      <w:r w:rsidRPr="00B7129B">
        <w:rPr>
          <w:rFonts w:ascii="Book Antiqua" w:hAnsi="Book Antiqua" w:hint="default"/>
          <w:sz w:val="20"/>
        </w:rPr>
        <w:instrText>ADDIN CSL_CITATION {"citationItems":[{"id":"ITEM-1","itemData":{"abstract":"Tekanan darah yang tinggi pada usia kehamilan 20 minggu menjadi petunjuk awal adanya preeklampsia. Jika tidak segera ditangani dapat membahayakan ibu dan bayi. Preeklampsia merupakan salah satu penyebab angka kematian ibu dan janin, dengan angka kejadian yang cukup tinggi. Namun, pada kenyataannya masih banyak ibu hamil yang belum mengetahui cara pencegahan preeklampsia. Tujuan penelitian ini adalah menganalisis Hubungan Antara Pengetahuan Dengan Perilaku Pencegahan Preeklampsia Pada Ibu Hamil Di Desa Cukir Dan Desa Kedawong Kecamatan Diwek Kabupten Jombang. Penelitian ini metode analitik dengan pendekatan cross sectional populasinya seluruh ibu hamil TM I dan TM II di Desa Cukir dan Desa Kedawong Kecamatan Diwek Kabupaten Jombang provinsi jawa timur sebanyak 34 responden. Sampling Non Probility sampling jenis total sampling , variabel independen dalam penelitian ini adalah pengetahuan ibu tentang pencegahan preeklampsia, variabel dependennya adalah perilaku pencegahan preeklampsia pada ibu hamil. Instrument penelitian menggunakan kuesioner dengan pengolahan data menggunakan editing, scoring,coding, tabulating uji statistik menggunakan spearmen rank . Hasil penelitian menunjukan bahwa hampir setengah responden memiliki pengetahuan kurang dalam pencegahan preeklampsia pada ibu hamil sebanyak 14 responden (41,2 %), cukup 11 responden (32,3%) dan baik 9 responden (26,5%) dan perilaku negatif ibu melakukan pencegahan preeklampsia sebanyak 19 responden (55,9%), perilaku positif sebanyak 15 responden (44,1%). Hasil spearman’s rho didapat nilai signifikan r(0,001) &lt;a (0,05), yang berarti H1 di terima.Kesimpulan dalam penelitian ini yaitu ada hubungan pengetahuan dengan perilaku pencegahan preeklampsia pada ibu hamil di Desa Cukir dan Desa Kedawong Kecamatan Diwek Kabupaten Jombang. Kata K unci : Pengetahuan, Pencegahan , Preeklampsia Ibu Hamil","author":[{"dropping-particle":"","family":"Usnaini","given":"Siti","non-dropping-particle":"","parse-names":false,"suffix":""},{"dropping-particle":"","family":"Nurmayanti","given":"Irma","non-dropping-particle":"","parse-names":false,"suffix":""},{"dropping-particle":"","family":"Mustika","given":"Nining","non-dropping-particle":"","parse-names":false,"suffix":""}],"container-title":"Midwifery Journal of STIKes Insan Cendekia Medika Jombang","id":"ITEM-1","issue":"1","issued":{"date-parts":[["2020"]]},"page":"61-69","title":"Hubungan Pengetahuan Dengan Perilaku Pencegahan Preeklampsia Pada Ibu Hamil","type":"article-journal","volume":"12"},"uris":["http://www.mendeley.com/documents/?uuid=f3e39925-c70b-493f-8326-ab3624dff9e4"]}],"mendeley":{"formattedCitation":"(Usnaini et al., 2020)","plainTextFormattedCitation":"(Usnaini et al., 2020)","previouslyFormattedCitation":"(Usnaini et al., 2020)"},"properties":{"noteIndex":0},"schema":"https://github.com/citation-style-language/schema/raw/master/csl-citation.json"}</w:instrText>
      </w:r>
      <w:r w:rsidRPr="00B7129B">
        <w:rPr>
          <w:rFonts w:ascii="Book Antiqua" w:hAnsi="Book Antiqua" w:hint="default"/>
          <w:sz w:val="20"/>
        </w:rPr>
        <w:fldChar w:fldCharType="separate"/>
      </w:r>
      <w:r w:rsidRPr="00B7129B">
        <w:rPr>
          <w:rFonts w:ascii="Book Antiqua" w:hAnsi="Book Antiqua" w:hint="default"/>
          <w:noProof/>
          <w:sz w:val="20"/>
        </w:rPr>
        <w:t xml:space="preserve">(Usnaini et al., 2020) </w:t>
      </w:r>
      <w:r w:rsidRPr="00B7129B">
        <w:rPr>
          <w:rFonts w:ascii="Book Antiqua" w:hAnsi="Book Antiqua" w:hint="default"/>
          <w:sz w:val="20"/>
        </w:rPr>
        <w:fldChar w:fldCharType="end"/>
      </w:r>
      <w:r w:rsidRPr="00B7129B">
        <w:rPr>
          <w:rFonts w:ascii="Book Antiqua" w:hAnsi="Book Antiqua" w:hint="default"/>
          <w:sz w:val="20"/>
        </w:rPr>
        <w:t>, pregnant women with a good level of knowledge will be more</w:t>
      </w:r>
      <w:r w:rsidRPr="00B7129B">
        <w:rPr>
          <w:rFonts w:ascii="Book Antiqua" w:hAnsi="Book Antiqua" w:hint="default"/>
          <w:b/>
          <w:bCs/>
          <w:sz w:val="20"/>
        </w:rPr>
        <w:t xml:space="preserve"> </w:t>
      </w:r>
      <w:r w:rsidRPr="00B7129B">
        <w:rPr>
          <w:rFonts w:ascii="Book Antiqua" w:hAnsi="Book Antiqua" w:hint="default"/>
          <w:sz w:val="20"/>
        </w:rPr>
        <w:t>also good at carrying out preeclampsia prevention behavior.</w:t>
      </w:r>
    </w:p>
    <w:p w:rsidR="00761D74" w:rsidRPr="00B7129B" w:rsidRDefault="00761D74" w:rsidP="00B7129B">
      <w:pPr>
        <w:widowControl/>
        <w:spacing w:after="0" w:line="360" w:lineRule="auto"/>
        <w:ind w:left="142" w:firstLine="638"/>
        <w:jc w:val="both"/>
        <w:rPr>
          <w:rFonts w:ascii="Book Antiqua" w:hAnsi="Book Antiqua" w:hint="default"/>
          <w:b/>
          <w:sz w:val="20"/>
        </w:rPr>
      </w:pPr>
      <w:r w:rsidRPr="00761D74">
        <w:rPr>
          <w:rFonts w:ascii="Book Antiqua" w:hAnsi="Book Antiqua" w:hint="default"/>
          <w:sz w:val="20"/>
        </w:rPr>
        <w:t xml:space="preserve">Pregnant women who have good knowledge about preeclampsia tend to show positive preventive behavior. They better understand the importance of maintaining health during pregnancy, including recognizing early symptoms and having regular check-ups. This good knowledge encourages pregnant women to follow medical advice, regulate a healthy diet, and maintain appropriate physical activity. Thus, educated pregnant women can be more effective in taking preventive measures that can reduce the risk of preeclampsia </w:t>
      </w:r>
      <w:r w:rsidRPr="00761D74">
        <w:rPr>
          <w:rFonts w:ascii="Book Antiqua" w:hAnsi="Book Antiqua" w:hint="default"/>
          <w:sz w:val="20"/>
        </w:rPr>
        <w:fldChar w:fldCharType="begin" w:fldLock="1"/>
      </w:r>
      <w:r w:rsidRPr="00761D74">
        <w:rPr>
          <w:rFonts w:ascii="Book Antiqua" w:hAnsi="Book Antiqua" w:hint="default"/>
          <w:sz w:val="20"/>
        </w:rPr>
        <w:instrText>ADDIN CSL_CITATION {"citationItems":[{"id":"ITEM-1","itemData":{"DOI":"10.20473/imhsj.v5i3.2021.307-316","abstract":"Background: Preeclampsia can threaten the health of the mother and fetus during pregnancy and childbirth, besides that it also increases the risk of long-term complications and has the potential to cause death. The incidence of preeclampsia at the RSUD Engku Haji Daud Tanjung Uban showed an increase in the last three years, namely the occurrence from 2017 as many as 23 cases to 56 cases in 2019. The condition of preeclampsia can worsen quickly and without warning, for that, it must be detected and managed appropriately. This study aimed to identify the association of obesity, multiple pregnancies, and previous history of preeclampsia with the incidence of preeclampsia in maternity women. Methods: This study uses a case-control study design. Performed on women giving birth in the period January – December 2019, consisting of 56 cases and 112 controls. Maternal women with preeclampsia were cases and women who were not diagnosed with preeclampsia were controls. The data was obtained from the respondents' medical records, then analyzed using the Chi-Square test or Fisher's Exact test with a value of = 0,05. Results: Obesity was associated with an increased risk of preeclampsia (OR= 4,746, 95% CI 2,381-9,460; P=0,000). Multiple pregnancies were associated with a significantly increased risk of preeclampsia (OR=15,857, 95% CI 1,899-132,384; P=0,002). Likewise, a previous history of preeclampsia was associated with a markedly increased risk of preeclampsia (OR=99,000, 95% CI 22,057-444,343; P=0,000). Conclusion: Based on these data, it was found that obesity, multiple pregnancies, and previous history of preeclampsia were significant risk factors for the occurrence of preeclampsia. It is important to identify risk factors for preeclampsia early, so that appropriate management can be carried out, to prevent complications.","author":[{"dropping-particle":"","family":"Parantika","given":"Riani Widia","non-dropping-particle":"","parse-names":false,"suffix":""},{"dropping-particle":"","family":"Hardianto","given":"Gatut","non-dropping-particle":"","parse-names":false,"suffix":""},{"dropping-particle":"","family":"Miftahussurur","given":"Muhammad","non-dropping-particle":"","parse-names":false,"suffix":""},{"dropping-particle":"","family":"Anis","given":"Wahyul","non-dropping-particle":"","parse-names":false,"suffix":""}],"container-title":"Indonesian Midwifery and Health Sciences Journal","id":"ITEM-1","issue":"3","issued":{"date-parts":[["2021"]]},"page":"307-316","title":"Relationship Between Obesity, Twin-Pregnancy and Previous History of Preeclampsia With Preeclampsia","type":"article-journal","volume":"5"},"uris":["http://www.mendeley.com/documents/?uuid=b2d8e482-d39c-4d35-b96f-26543dbe087e"]}],"mendeley":{"formattedCitation":"(Parantika et al., 2021)","plainTextFormattedCitation":"(Parantika et al., 2021)","previouslyFormattedCitation":"(Parantika et al., 2021)"},"properties":{"noteIndex":0},"schema":"https://github.com/citation-style-language/schema/raw/master/csl-citation.json"}</w:instrText>
      </w:r>
      <w:r w:rsidRPr="00761D74">
        <w:rPr>
          <w:rFonts w:ascii="Book Antiqua" w:hAnsi="Book Antiqua" w:hint="default"/>
          <w:sz w:val="20"/>
        </w:rPr>
        <w:fldChar w:fldCharType="separate"/>
      </w:r>
      <w:r w:rsidRPr="00761D74">
        <w:rPr>
          <w:rFonts w:ascii="Book Antiqua" w:hAnsi="Book Antiqua" w:hint="default"/>
          <w:noProof/>
          <w:sz w:val="20"/>
        </w:rPr>
        <w:t xml:space="preserve">(Parantika et al., 2021) </w:t>
      </w:r>
      <w:r w:rsidRPr="00761D74">
        <w:rPr>
          <w:rFonts w:ascii="Book Antiqua" w:hAnsi="Book Antiqua" w:hint="default"/>
          <w:sz w:val="20"/>
        </w:rPr>
        <w:fldChar w:fldCharType="end"/>
      </w:r>
      <w:r w:rsidRPr="00761D74">
        <w:rPr>
          <w:rFonts w:ascii="Book Antiqua" w:hAnsi="Book Antiqua" w:hint="default"/>
          <w:sz w:val="20"/>
        </w:rPr>
        <w:t xml:space="preserve">. On the other hand, pregnant women who have less knowledge about preeclampsia are often unaware of the risks they face, so their preventive behavior becomes negative. They may ignore the importance of health checks or not be aware of the early signs to watch out for or perhaps due to a lack of support and motivation from those closest to them such as family or friends. This lack of understanding can cause them not to take necessary actions, such as paying attention to diet or avoiding risk factors that can worsen the condition. As a result, they are more susceptible to complications during pregnancy </w:t>
      </w:r>
      <w:r w:rsidRPr="00761D74">
        <w:rPr>
          <w:rFonts w:ascii="Book Antiqua" w:hAnsi="Book Antiqua" w:hint="default"/>
          <w:sz w:val="20"/>
        </w:rPr>
        <w:fldChar w:fldCharType="begin" w:fldLock="1"/>
      </w:r>
      <w:r w:rsidRPr="00761D74">
        <w:rPr>
          <w:rFonts w:ascii="Book Antiqua" w:hAnsi="Book Antiqua" w:hint="default"/>
          <w:sz w:val="20"/>
        </w:rPr>
        <w:instrText>ADDIN CSL_CITATION {"citationItems":[{"id":"ITEM-1","itemData":{"abstract":"Tekanan darah yang tinggi pada usia kehamilan 20 minggu menjadi petunjuk awal adanya preeklampsia. Jika tidak segera ditangani dapat membahayakan ibu dan bayi. Preeklampsia merupakan salah satu penyebab angka kematian ibu dan janin, dengan angka kejadian yang cukup tinggi. Namun, pada kenyataannya masih banyak ibu hamil yang belum mengetahui cara pencegahan preeklampsia. Tujuan penelitian ini adalah menganalisis Hubungan Antara Pengetahuan Dengan Perilaku Pencegahan Preeklampsia Pada Ibu Hamil Di Desa Cukir Dan Desa Kedawong Kecamatan Diwek Kabupten Jombang. Penelitian ini metode analitik dengan pendekatan cross sectional populasinya seluruh ibu hamil TM I dan TM II di Desa Cukir dan Desa Kedawong Kecamatan Diwek Kabupaten Jombang provinsi jawa timur sebanyak 34 responden. Sampling Non Probility sampling jenis total sampling , variabel independen dalam penelitian ini adalah pengetahuan ibu tentang pencegahan preeklampsia, variabel dependennya adalah perilaku pencegahan preeklampsia pada ibu hamil. Instrument penelitian menggunakan kuesioner dengan pengolahan data menggunakan editing, scoring,coding, tabulating uji statistik menggunakan spearmen rank . Hasil penelitian menunjukan bahwa hampir setengah responden memiliki pengetahuan kurang dalam pencegahan preeklampsia pada ibu hamil sebanyak 14 responden (41,2 %), cukup 11 responden (32,3%) dan baik 9 responden (26,5%) dan perilaku negatif ibu melakukan pencegahan preeklampsia sebanyak 19 responden (55,9%), perilaku positif sebanyak 15 responden (44,1%). Hasil spearman’s rho didapat nilai signifikan r(0,001) &lt;a (0,05), yang berarti H1 di terima.Kesimpulan dalam penelitian ini yaitu ada hubungan pengetahuan dengan perilaku pencegahan preeklampsia pada ibu hamil di Desa Cukir dan Desa Kedawong Kecamatan Diwek Kabupaten Jombang. Kata K unci : Pengetahuan, Pencegahan , Preeklampsia Ibu Hamil","author":[{"dropping-particle":"","family":"Usnaini","given":"Siti","non-dropping-particle":"","parse-names":false,"suffix":""},{"dropping-particle":"","family":"Nurmayanti","given":"Irma","non-dropping-particle":"","parse-names":false,"suffix":""},{"dropping-particle":"","family":"Mustika","given":"Nining","non-dropping-particle":"","parse-names":false,"suffix":""}],"container-title":"Midwifery Journal of STIKes Insan Cendekia Medika Jombang","id":"ITEM-1","issue":"1","issued":{"date-parts":[["2020"]]},"page":"61-69","title":"Hubungan Pengetahuan Dengan Perilaku Pencegahan Preeklampsia Pada Ibu Hamil","type":"article-journal","volume":"12"},"uris":["http://www.mendeley.com/documents/?uuid=f3e39925-c70b-493f-8326-ab3624dff9e4"]}],"mendeley":{"formattedCitation":"(Usnaini et al., 2020)","plainTextFormattedCitation":"(Usnaini et al., 2020)","previouslyFormattedCitation":"(Usnaini et al., 2020)"},"properties":{"noteIndex":0},"schema":"https://github.com/citation-style-language/schema/raw/master/csl-citation.json"}</w:instrText>
      </w:r>
      <w:r w:rsidRPr="00761D74">
        <w:rPr>
          <w:rFonts w:ascii="Book Antiqua" w:hAnsi="Book Antiqua" w:hint="default"/>
          <w:sz w:val="20"/>
        </w:rPr>
        <w:fldChar w:fldCharType="separate"/>
      </w:r>
      <w:r w:rsidRPr="00761D74">
        <w:rPr>
          <w:rFonts w:ascii="Book Antiqua" w:hAnsi="Book Antiqua" w:hint="default"/>
          <w:noProof/>
          <w:sz w:val="20"/>
        </w:rPr>
        <w:t xml:space="preserve">(Usnaini et al., 2020) </w:t>
      </w:r>
      <w:r w:rsidRPr="00761D74">
        <w:rPr>
          <w:rFonts w:ascii="Book Antiqua" w:hAnsi="Book Antiqua" w:hint="default"/>
          <w:sz w:val="20"/>
        </w:rPr>
        <w:fldChar w:fldCharType="end"/>
      </w:r>
      <w:r w:rsidRPr="00761D74">
        <w:rPr>
          <w:rFonts w:ascii="Book Antiqua" w:hAnsi="Book Antiqua" w:hint="default"/>
          <w:sz w:val="20"/>
        </w:rPr>
        <w:t>.</w:t>
      </w:r>
    </w:p>
    <w:p w:rsidR="00761D74" w:rsidRDefault="00761D74" w:rsidP="00761D74">
      <w:pPr>
        <w:pStyle w:val="NormalWeb"/>
        <w:widowControl/>
        <w:tabs>
          <w:tab w:val="left" w:pos="-578"/>
        </w:tabs>
        <w:spacing w:before="0" w:beforeAutospacing="0" w:after="0" w:afterAutospacing="0" w:line="360" w:lineRule="auto"/>
        <w:ind w:left="219"/>
        <w:jc w:val="both"/>
        <w:rPr>
          <w:rFonts w:ascii="Book Antiqua" w:eastAsia="Book Antiqua" w:hAnsi="Book Antiqua" w:hint="default"/>
          <w:b/>
          <w:color w:val="000000"/>
          <w:kern w:val="0"/>
          <w:sz w:val="20"/>
          <w:lang w:val="id-ID"/>
        </w:rPr>
      </w:pPr>
    </w:p>
    <w:p w:rsidR="00B7129B" w:rsidRDefault="004828BE" w:rsidP="00B7129B">
      <w:pPr>
        <w:pStyle w:val="NormalWeb"/>
        <w:widowControl/>
        <w:tabs>
          <w:tab w:val="left" w:pos="-578"/>
        </w:tabs>
        <w:spacing w:before="0" w:beforeAutospacing="0" w:after="0" w:afterAutospacing="0" w:line="360" w:lineRule="auto"/>
        <w:jc w:val="both"/>
        <w:rPr>
          <w:rFonts w:ascii="Book Antiqua" w:eastAsia="Book Antiqua" w:hAnsi="Book Antiqua" w:hint="default"/>
          <w:b/>
          <w:color w:val="000000"/>
          <w:kern w:val="0"/>
          <w:sz w:val="20"/>
        </w:rPr>
      </w:pPr>
      <w:r>
        <w:rPr>
          <w:rFonts w:ascii="Book Antiqua" w:eastAsia="Book Antiqua" w:hAnsi="Book Antiqua" w:hint="default"/>
          <w:b/>
          <w:color w:val="000000"/>
          <w:kern w:val="0"/>
          <w:sz w:val="20"/>
          <w:lang w:val="id-ID"/>
        </w:rPr>
        <w:t>Conclusion and Sug</w:t>
      </w:r>
      <w:r>
        <w:rPr>
          <w:rFonts w:ascii="Book Antiqua" w:eastAsia="Book Antiqua" w:hAnsi="Book Antiqua" w:hint="default"/>
          <w:b/>
          <w:color w:val="000000"/>
          <w:kern w:val="0"/>
          <w:sz w:val="20"/>
        </w:rPr>
        <w:t>g</w:t>
      </w:r>
      <w:r>
        <w:rPr>
          <w:rFonts w:ascii="Book Antiqua" w:eastAsia="Book Antiqua" w:hAnsi="Book Antiqua" w:hint="default"/>
          <w:b/>
          <w:color w:val="000000"/>
          <w:kern w:val="0"/>
          <w:sz w:val="20"/>
          <w:lang w:val="id-ID"/>
        </w:rPr>
        <w:t>estion</w:t>
      </w:r>
    </w:p>
    <w:p w:rsidR="00B7129B" w:rsidRDefault="00B7129B" w:rsidP="00B7129B">
      <w:pPr>
        <w:pStyle w:val="NormalWeb"/>
        <w:widowControl/>
        <w:tabs>
          <w:tab w:val="left" w:pos="-578"/>
        </w:tabs>
        <w:spacing w:before="0" w:beforeAutospacing="0" w:after="0" w:afterAutospacing="0" w:line="360" w:lineRule="auto"/>
        <w:jc w:val="both"/>
        <w:rPr>
          <w:rFonts w:ascii="Book Antiqua" w:eastAsia="Book Antiqua" w:hAnsi="Book Antiqua" w:hint="default"/>
          <w:b/>
          <w:color w:val="000000"/>
          <w:kern w:val="0"/>
          <w:sz w:val="20"/>
        </w:rPr>
      </w:pPr>
      <w:r>
        <w:rPr>
          <w:rFonts w:ascii="Book Antiqua" w:eastAsia="Book Antiqua" w:hAnsi="Book Antiqua" w:hint="default"/>
          <w:b/>
          <w:color w:val="000000"/>
          <w:kern w:val="0"/>
          <w:sz w:val="20"/>
        </w:rPr>
        <w:tab/>
      </w:r>
      <w:r w:rsidR="00761D74" w:rsidRPr="00761D74">
        <w:rPr>
          <w:rFonts w:ascii="Book Antiqua" w:eastAsia="Book Antiqua" w:hAnsi="Book Antiqua" w:hint="default"/>
          <w:color w:val="000000"/>
          <w:kern w:val="0"/>
          <w:sz w:val="20"/>
          <w:lang w:val="id-ID"/>
        </w:rPr>
        <w:t>Based on the characteristics of this study, the average age of respondents was 29.29 years with the youngest mother being 19 years old and the oldest mother being 42 years old. Characteristics based on gestational age had an average of 23.87 weeks with the youngest gestational age being 9 weeks and the oldest gestational age being 38 weeks. Based on parity characteristics, respondents were mostly in the primigravida category, namely 30 respondents (54.5%). Characteristics based on preeclampsia history characteristics, most respondents did not have a history of preeclampsia, as many as 50 respondents (90.9%) and the majority of respondents had a high level of education (Diploma/Bachelor/Master) as many as 24 respondents (43.6%). Based on employment status, most respondents were housewives, as many as 31 respondents (56.4%).</w:t>
      </w:r>
    </w:p>
    <w:p w:rsidR="00B7129B" w:rsidRDefault="00B7129B" w:rsidP="00B7129B">
      <w:pPr>
        <w:pStyle w:val="NormalWeb"/>
        <w:widowControl/>
        <w:tabs>
          <w:tab w:val="left" w:pos="-578"/>
        </w:tabs>
        <w:spacing w:before="0" w:beforeAutospacing="0" w:after="0" w:afterAutospacing="0" w:line="360" w:lineRule="auto"/>
        <w:jc w:val="both"/>
        <w:rPr>
          <w:rFonts w:ascii="Book Antiqua" w:eastAsia="Book Antiqua" w:hAnsi="Book Antiqua" w:hint="default"/>
          <w:b/>
          <w:color w:val="000000"/>
          <w:kern w:val="0"/>
          <w:sz w:val="20"/>
        </w:rPr>
      </w:pPr>
      <w:r>
        <w:rPr>
          <w:rFonts w:ascii="Book Antiqua" w:eastAsia="Book Antiqua" w:hAnsi="Book Antiqua" w:hint="default"/>
          <w:b/>
          <w:color w:val="000000"/>
          <w:kern w:val="0"/>
          <w:sz w:val="20"/>
        </w:rPr>
        <w:tab/>
      </w:r>
      <w:r w:rsidR="00761D74" w:rsidRPr="00761D74">
        <w:rPr>
          <w:rFonts w:ascii="Book Antiqua" w:eastAsia="Book Antiqua" w:hAnsi="Book Antiqua" w:hint="default"/>
          <w:color w:val="000000"/>
          <w:kern w:val="0"/>
          <w:sz w:val="20"/>
          <w:lang w:val="id-ID"/>
        </w:rPr>
        <w:t>The level of knowledge about preeclampsia in this study, more than half of the respondents had a good level of knowledge, namely 31 respondents (56.4%) and a poor level of knowledge, namely 24 respondents (43.6%).</w:t>
      </w:r>
    </w:p>
    <w:p w:rsidR="00761D74" w:rsidRPr="00B7129B" w:rsidRDefault="00B7129B" w:rsidP="00B7129B">
      <w:pPr>
        <w:pStyle w:val="NormalWeb"/>
        <w:widowControl/>
        <w:tabs>
          <w:tab w:val="left" w:pos="-578"/>
        </w:tabs>
        <w:spacing w:before="0" w:beforeAutospacing="0" w:after="0" w:afterAutospacing="0" w:line="360" w:lineRule="auto"/>
        <w:jc w:val="both"/>
        <w:rPr>
          <w:rFonts w:ascii="Book Antiqua" w:eastAsia="Book Antiqua" w:hAnsi="Book Antiqua" w:hint="default"/>
          <w:b/>
          <w:color w:val="000000"/>
          <w:kern w:val="0"/>
          <w:sz w:val="20"/>
          <w:lang w:val="id-ID"/>
        </w:rPr>
      </w:pPr>
      <w:r>
        <w:rPr>
          <w:rFonts w:ascii="Book Antiqua" w:eastAsia="Book Antiqua" w:hAnsi="Book Antiqua" w:hint="default"/>
          <w:b/>
          <w:color w:val="000000"/>
          <w:kern w:val="0"/>
          <w:sz w:val="20"/>
        </w:rPr>
        <w:tab/>
      </w:r>
      <w:r w:rsidR="00761D74" w:rsidRPr="00761D74">
        <w:rPr>
          <w:rFonts w:ascii="Book Antiqua" w:eastAsia="Book Antiqua" w:hAnsi="Book Antiqua" w:hint="default"/>
          <w:color w:val="000000"/>
          <w:kern w:val="0"/>
          <w:sz w:val="20"/>
          <w:lang w:val="id-ID"/>
        </w:rPr>
        <w:t>Preeclampsia prevention behavior, more than half of the respondents had positive behavior, as many as 32 respondents (58.2%) and those who had negative behavior were as many as 24 respondents (41.8%).</w:t>
      </w:r>
    </w:p>
    <w:p w:rsidR="00170148" w:rsidRPr="00B7129B" w:rsidRDefault="00761D74" w:rsidP="00B7129B">
      <w:pPr>
        <w:pStyle w:val="NormalWeb"/>
        <w:widowControl/>
        <w:spacing w:before="0" w:beforeAutospacing="0" w:after="0" w:afterAutospacing="0" w:line="360" w:lineRule="auto"/>
        <w:ind w:firstLine="420"/>
        <w:jc w:val="both"/>
        <w:rPr>
          <w:rFonts w:ascii="Book Antiqua" w:eastAsia="Book Antiqua" w:hAnsi="Book Antiqua" w:hint="default"/>
          <w:b/>
          <w:color w:val="000000"/>
          <w:kern w:val="0"/>
          <w:sz w:val="20"/>
        </w:rPr>
      </w:pPr>
      <w:r w:rsidRPr="00761D74">
        <w:rPr>
          <w:rFonts w:ascii="Book Antiqua" w:eastAsia="Book Antiqua" w:hAnsi="Book Antiqua" w:hint="default"/>
          <w:color w:val="000000"/>
          <w:kern w:val="0"/>
          <w:sz w:val="20"/>
          <w:lang w:val="id-ID"/>
        </w:rPr>
        <w:t>The results of the study showed that there was a significant relationship between the level of knowledge and preeclampsia prevention behavior in the Padangsari Health Center work area with a p-value of 0.000. With an Odds Ratio of 10.1, which means that pregnant women with a good level of knowledge have a 10 times greater chance of carrying out preeclampsia prevention behavior than pregnant women with a low level of knowledge about preeclampsia.</w:t>
      </w:r>
    </w:p>
    <w:p w:rsidR="00170148" w:rsidRDefault="004828BE" w:rsidP="00B7129B">
      <w:pPr>
        <w:pStyle w:val="NormalWeb"/>
        <w:widowControl/>
        <w:tabs>
          <w:tab w:val="left" w:pos="-578"/>
        </w:tabs>
        <w:spacing w:before="0" w:beforeAutospacing="0" w:after="0" w:afterAutospacing="0" w:line="360" w:lineRule="auto"/>
        <w:jc w:val="both"/>
        <w:rPr>
          <w:rFonts w:ascii="Book Antiqua" w:eastAsia="Book Antiqua" w:hAnsi="Book Antiqua" w:hint="default"/>
          <w:b/>
          <w:color w:val="000000"/>
          <w:kern w:val="0"/>
          <w:sz w:val="20"/>
          <w:lang w:val="id-ID"/>
        </w:rPr>
      </w:pPr>
      <w:r>
        <w:rPr>
          <w:rFonts w:ascii="Book Antiqua" w:eastAsia="Book Antiqua" w:hAnsi="Book Antiqua" w:hint="default"/>
          <w:b/>
          <w:color w:val="000000"/>
          <w:kern w:val="0"/>
          <w:sz w:val="20"/>
          <w:lang w:val="id-ID"/>
        </w:rPr>
        <w:t>Acknowledgments</w:t>
      </w:r>
    </w:p>
    <w:p w:rsidR="00170148" w:rsidRDefault="004828BE" w:rsidP="00B7129B">
      <w:pPr>
        <w:pStyle w:val="NormalWeb"/>
        <w:widowControl/>
        <w:spacing w:before="0" w:beforeAutospacing="0" w:after="0" w:afterAutospacing="0" w:line="360" w:lineRule="auto"/>
        <w:ind w:firstLine="420"/>
        <w:jc w:val="both"/>
        <w:rPr>
          <w:rFonts w:ascii="Book Antiqua" w:eastAsia="Book Antiqua" w:hAnsi="Book Antiqua" w:hint="default"/>
          <w:kern w:val="0"/>
          <w:sz w:val="20"/>
        </w:rPr>
      </w:pPr>
      <w:r>
        <w:rPr>
          <w:rFonts w:ascii="Book Antiqua" w:hAnsi="Book Antiqua" w:hint="default"/>
          <w:sz w:val="20"/>
          <w:shd w:val="clear" w:color="auto" w:fill="FFFFFF"/>
        </w:rPr>
        <w:t xml:space="preserve">Collate acknowledgments in a separate section at the end of the article before the references and do not, therefore, include them on the title page, as a footnote to the title or otherwise. List here those individuals who provided help during the research (e.g., </w:t>
      </w:r>
      <w:r>
        <w:rPr>
          <w:rFonts w:ascii="Book Antiqua" w:hAnsi="Book Antiqua" w:hint="default"/>
          <w:sz w:val="20"/>
          <w:shd w:val="clear" w:color="auto" w:fill="FFFFFF"/>
          <w:lang w:val="id-ID"/>
        </w:rPr>
        <w:t xml:space="preserve">name of foundation, grant maker, donor, </w:t>
      </w:r>
      <w:r>
        <w:rPr>
          <w:rFonts w:ascii="Book Antiqua" w:hAnsi="Book Antiqua" w:hint="default"/>
          <w:sz w:val="20"/>
          <w:shd w:val="clear" w:color="auto" w:fill="FFFFFF"/>
        </w:rPr>
        <w:t>providing language help, writing assistance or proof reading the article, etc.)</w:t>
      </w:r>
      <w:r>
        <w:rPr>
          <w:rFonts w:ascii="Book Antiqua" w:hAnsi="Book Antiqua" w:hint="default"/>
          <w:sz w:val="20"/>
          <w:shd w:val="clear" w:color="auto" w:fill="FFFFFF"/>
          <w:lang w:val="id-ID"/>
        </w:rPr>
        <w:t>.</w:t>
      </w:r>
    </w:p>
    <w:p w:rsidR="00B7129B" w:rsidRPr="00B7129B" w:rsidRDefault="00B7129B" w:rsidP="00B7129B">
      <w:pPr>
        <w:pStyle w:val="NormalWeb"/>
        <w:widowControl/>
        <w:spacing w:before="0" w:beforeAutospacing="0" w:after="0" w:afterAutospacing="0" w:line="360" w:lineRule="auto"/>
        <w:ind w:firstLine="420"/>
        <w:jc w:val="both"/>
        <w:rPr>
          <w:rFonts w:ascii="Book Antiqua" w:eastAsia="Book Antiqua" w:hAnsi="Book Antiqua" w:hint="default"/>
          <w:kern w:val="0"/>
          <w:sz w:val="20"/>
        </w:rPr>
      </w:pPr>
    </w:p>
    <w:p w:rsidR="00170148" w:rsidRDefault="004828BE" w:rsidP="00B7129B">
      <w:pPr>
        <w:pStyle w:val="NormalWeb"/>
        <w:widowControl/>
        <w:tabs>
          <w:tab w:val="left" w:pos="-578"/>
        </w:tabs>
        <w:spacing w:before="0" w:beforeAutospacing="0" w:after="0" w:afterAutospacing="0" w:line="360" w:lineRule="auto"/>
        <w:jc w:val="both"/>
        <w:rPr>
          <w:rFonts w:ascii="Book Antiqua" w:eastAsia="Book Antiqua" w:hAnsi="Book Antiqua" w:hint="default"/>
          <w:b/>
          <w:color w:val="000000"/>
          <w:kern w:val="0"/>
          <w:sz w:val="20"/>
          <w:lang w:val="id-ID"/>
        </w:rPr>
      </w:pPr>
      <w:r>
        <w:rPr>
          <w:rFonts w:ascii="Book Antiqua" w:eastAsia="Book Antiqua" w:hAnsi="Book Antiqua" w:hint="default"/>
          <w:b/>
          <w:color w:val="000000"/>
          <w:kern w:val="0"/>
          <w:sz w:val="20"/>
          <w:lang w:val="id-ID"/>
        </w:rPr>
        <w:t>References</w:t>
      </w:r>
    </w:p>
    <w:p w:rsidR="00170148" w:rsidRDefault="004828BE">
      <w:pPr>
        <w:autoSpaceDE w:val="0"/>
        <w:autoSpaceDN w:val="0"/>
        <w:adjustRightInd w:val="0"/>
        <w:ind w:left="480" w:hanging="480"/>
        <w:jc w:val="both"/>
        <w:rPr>
          <w:rFonts w:ascii="Book Antiqua" w:hAnsi="Book Antiqua" w:hint="default"/>
          <w:sz w:val="20"/>
          <w:szCs w:val="24"/>
        </w:rPr>
      </w:pPr>
      <w:r w:rsidRPr="006E129B">
        <w:rPr>
          <w:rFonts w:ascii="Book Antiqua" w:hAnsi="Book Antiqua"/>
          <w:sz w:val="20"/>
          <w:szCs w:val="24"/>
          <w:lang w:val="id-ID"/>
        </w:rPr>
        <w:t xml:space="preserve">Apriyanti, L., Widjanarko, B., &amp; Laksono, B. (2018). Faktor-faktor yang Mempengaruhi Pemanfaatan Jamban Keluarga di Kecamatan Jatibarang Kabupaten Brebes. </w:t>
      </w:r>
      <w:r>
        <w:rPr>
          <w:rFonts w:ascii="Book Antiqua" w:hAnsi="Book Antiqua"/>
          <w:i/>
          <w:iCs/>
          <w:sz w:val="20"/>
          <w:szCs w:val="24"/>
        </w:rPr>
        <w:t>Jurnal Promosi Kesehatan Indonesia</w:t>
      </w:r>
      <w:r>
        <w:rPr>
          <w:rFonts w:ascii="Book Antiqua" w:hAnsi="Book Antiqua"/>
          <w:sz w:val="20"/>
          <w:szCs w:val="24"/>
        </w:rPr>
        <w:t xml:space="preserve">, </w:t>
      </w:r>
      <w:r>
        <w:rPr>
          <w:rFonts w:ascii="Book Antiqua" w:hAnsi="Book Antiqua"/>
          <w:i/>
          <w:iCs/>
          <w:sz w:val="20"/>
          <w:szCs w:val="24"/>
        </w:rPr>
        <w:t>14</w:t>
      </w:r>
      <w:r>
        <w:rPr>
          <w:rFonts w:ascii="Book Antiqua" w:hAnsi="Book Antiqua"/>
          <w:sz w:val="20"/>
          <w:szCs w:val="24"/>
        </w:rPr>
        <w:t>(1), 1. https://doi.org/10.14710/jpki.14.1.1-14</w:t>
      </w:r>
    </w:p>
    <w:p w:rsidR="00170148" w:rsidRDefault="004828BE">
      <w:pPr>
        <w:autoSpaceDE w:val="0"/>
        <w:autoSpaceDN w:val="0"/>
        <w:adjustRightInd w:val="0"/>
        <w:spacing w:line="240" w:lineRule="auto"/>
        <w:ind w:left="475" w:hanging="475"/>
        <w:jc w:val="both"/>
        <w:rPr>
          <w:rFonts w:ascii="Book Antiqua" w:hAnsi="Book Antiqua" w:hint="default"/>
          <w:sz w:val="20"/>
        </w:rPr>
      </w:pPr>
      <w:r>
        <w:rPr>
          <w:rFonts w:ascii="Book Antiqua" w:hAnsi="Book Antiqua" w:hint="default"/>
          <w:sz w:val="20"/>
        </w:rPr>
        <w:t xml:space="preserve">Bhandari, P., Bak, J., Lee, K., Chon, Y., &amp; Bhattachan, A. (2019). </w:t>
      </w:r>
      <w:r>
        <w:rPr>
          <w:rFonts w:ascii="Book Antiqua" w:hAnsi="Book Antiqua" w:hint="default"/>
          <w:i/>
          <w:iCs/>
          <w:sz w:val="20"/>
        </w:rPr>
        <w:t>Assessment of Socio-Demographic Factors , Mother and Child Health Status , Water , Sanitation , and Hygienic Conditions Existing in a Hilly Rural Village of Nepal</w:t>
      </w:r>
      <w:r>
        <w:rPr>
          <w:rFonts w:ascii="Book Antiqua" w:hAnsi="Book Antiqua" w:hint="default"/>
          <w:sz w:val="20"/>
        </w:rPr>
        <w:t>. 1–12.</w:t>
      </w:r>
    </w:p>
    <w:p w:rsidR="00170148" w:rsidRDefault="004828BE">
      <w:pPr>
        <w:autoSpaceDE w:val="0"/>
        <w:autoSpaceDN w:val="0"/>
        <w:adjustRightInd w:val="0"/>
        <w:spacing w:line="240" w:lineRule="auto"/>
        <w:ind w:left="475" w:hanging="475"/>
        <w:jc w:val="both"/>
        <w:rPr>
          <w:rFonts w:ascii="Book Antiqua" w:hAnsi="Book Antiqua" w:hint="default"/>
          <w:sz w:val="20"/>
        </w:rPr>
      </w:pPr>
      <w:r>
        <w:rPr>
          <w:rFonts w:ascii="Book Antiqua" w:hAnsi="Book Antiqua" w:hint="default"/>
          <w:sz w:val="20"/>
        </w:rPr>
        <w:t xml:space="preserve">Contreras, J. D., Trangucci, R., Felix-arellano, E. E., Rodríguez-dozal, S., Siebe, C., Riojas-rodríguez, H., … Eisenberg, J. N. S. (2020). </w:t>
      </w:r>
      <w:r>
        <w:rPr>
          <w:rFonts w:ascii="Book Antiqua" w:hAnsi="Book Antiqua" w:hint="default"/>
          <w:i/>
          <w:iCs/>
          <w:sz w:val="20"/>
        </w:rPr>
        <w:t>Modeling Spatial Risk of Diarrheal Disease Associated with Household Proximity to Untreated Wastewater Used for Irrigation in the Mezquital Valley , Mexico</w:t>
      </w:r>
      <w:r>
        <w:rPr>
          <w:rFonts w:ascii="Book Antiqua" w:hAnsi="Book Antiqua" w:hint="default"/>
          <w:sz w:val="20"/>
        </w:rPr>
        <w:t xml:space="preserve">. </w:t>
      </w:r>
      <w:r>
        <w:rPr>
          <w:rFonts w:ascii="Book Antiqua" w:hAnsi="Book Antiqua" w:hint="default"/>
          <w:i/>
          <w:iCs/>
          <w:sz w:val="20"/>
        </w:rPr>
        <w:t>128</w:t>
      </w:r>
      <w:r>
        <w:rPr>
          <w:rFonts w:ascii="Book Antiqua" w:hAnsi="Book Antiqua" w:hint="default"/>
          <w:sz w:val="20"/>
        </w:rPr>
        <w:t>(July), 1–9.</w:t>
      </w:r>
    </w:p>
    <w:p w:rsidR="00170148" w:rsidRDefault="004828BE">
      <w:pPr>
        <w:autoSpaceDE w:val="0"/>
        <w:autoSpaceDN w:val="0"/>
        <w:adjustRightInd w:val="0"/>
        <w:spacing w:after="0" w:line="240" w:lineRule="auto"/>
        <w:ind w:left="480" w:hanging="480"/>
        <w:jc w:val="both"/>
        <w:rPr>
          <w:rFonts w:ascii="Book Antiqua" w:hAnsi="Book Antiqua" w:hint="default"/>
          <w:sz w:val="20"/>
          <w:szCs w:val="24"/>
        </w:rPr>
      </w:pPr>
      <w:r>
        <w:rPr>
          <w:rFonts w:ascii="Book Antiqua" w:hAnsi="Book Antiqua"/>
          <w:sz w:val="20"/>
          <w:szCs w:val="24"/>
        </w:rPr>
        <w:t xml:space="preserve">Dong, Y., Wu, S. X., Wang, W., &amp; Peng, S. (2019). Is the Student-Centered Learning Style More Effective Than the Teacher-Student Double-Centered Learning Style in Improving Reading Performance? </w:t>
      </w:r>
      <w:r>
        <w:rPr>
          <w:rFonts w:ascii="Book Antiqua" w:hAnsi="Book Antiqua"/>
          <w:i/>
          <w:iCs/>
          <w:sz w:val="20"/>
          <w:szCs w:val="24"/>
        </w:rPr>
        <w:t>Frontiers in Psychology</w:t>
      </w:r>
      <w:r>
        <w:rPr>
          <w:rFonts w:ascii="Book Antiqua" w:hAnsi="Book Antiqua"/>
          <w:sz w:val="20"/>
          <w:szCs w:val="24"/>
        </w:rPr>
        <w:t xml:space="preserve">, </w:t>
      </w:r>
      <w:r>
        <w:rPr>
          <w:rFonts w:ascii="Book Antiqua" w:hAnsi="Book Antiqua"/>
          <w:i/>
          <w:iCs/>
          <w:sz w:val="20"/>
          <w:szCs w:val="24"/>
        </w:rPr>
        <w:t>10</w:t>
      </w:r>
      <w:r>
        <w:rPr>
          <w:rFonts w:ascii="Book Antiqua" w:hAnsi="Book Antiqua"/>
          <w:sz w:val="20"/>
          <w:szCs w:val="24"/>
        </w:rPr>
        <w:t>(November). https://doi.org/10.3389/fpsyg.2019.02630</w:t>
      </w:r>
    </w:p>
    <w:p w:rsidR="00170148" w:rsidRDefault="004828BE">
      <w:pPr>
        <w:autoSpaceDE w:val="0"/>
        <w:autoSpaceDN w:val="0"/>
        <w:adjustRightInd w:val="0"/>
        <w:spacing w:after="0" w:line="240" w:lineRule="auto"/>
        <w:ind w:left="480" w:hanging="480"/>
        <w:jc w:val="both"/>
        <w:rPr>
          <w:rFonts w:ascii="Book Antiqua" w:hAnsi="Book Antiqua" w:hint="default"/>
          <w:sz w:val="20"/>
          <w:szCs w:val="24"/>
        </w:rPr>
      </w:pPr>
      <w:r>
        <w:rPr>
          <w:rFonts w:ascii="Book Antiqua" w:hAnsi="Book Antiqua"/>
          <w:sz w:val="20"/>
          <w:szCs w:val="24"/>
        </w:rPr>
        <w:t xml:space="preserve">Eller, L. ., Lev, E. ., &amp; Feurer, A. (2015). Key components of the effective mentoring relationship. </w:t>
      </w:r>
      <w:r>
        <w:rPr>
          <w:rFonts w:ascii="Book Antiqua" w:hAnsi="Book Antiqua"/>
          <w:i/>
          <w:iCs/>
          <w:sz w:val="20"/>
          <w:szCs w:val="24"/>
        </w:rPr>
        <w:t>Nurse Educ Today</w:t>
      </w:r>
      <w:r>
        <w:rPr>
          <w:rFonts w:ascii="Book Antiqua" w:hAnsi="Book Antiqua"/>
          <w:sz w:val="20"/>
          <w:szCs w:val="24"/>
        </w:rPr>
        <w:t xml:space="preserve">, </w:t>
      </w:r>
      <w:r>
        <w:rPr>
          <w:rFonts w:ascii="Book Antiqua" w:hAnsi="Book Antiqua"/>
          <w:i/>
          <w:iCs/>
          <w:sz w:val="20"/>
          <w:szCs w:val="24"/>
        </w:rPr>
        <w:t>27</w:t>
      </w:r>
      <w:r>
        <w:rPr>
          <w:rFonts w:ascii="Book Antiqua" w:hAnsi="Book Antiqua"/>
          <w:sz w:val="20"/>
          <w:szCs w:val="24"/>
        </w:rPr>
        <w:t xml:space="preserve">(3), 320–331. </w:t>
      </w:r>
      <w:hyperlink r:id="rId12" w:history="1">
        <w:r>
          <w:rPr>
            <w:rStyle w:val="Hyperlink"/>
            <w:rFonts w:ascii="Book Antiqua" w:hAnsi="Book Antiqua" w:hint="eastAsia"/>
            <w:sz w:val="20"/>
            <w:szCs w:val="24"/>
          </w:rPr>
          <w:t>https://doi.org/10.1016/j.nedt.2013.07.020.Key</w:t>
        </w:r>
      </w:hyperlink>
    </w:p>
    <w:p w:rsidR="00170148" w:rsidRDefault="004828BE">
      <w:pPr>
        <w:autoSpaceDE w:val="0"/>
        <w:autoSpaceDN w:val="0"/>
        <w:adjustRightInd w:val="0"/>
        <w:spacing w:after="0" w:line="240" w:lineRule="auto"/>
        <w:ind w:left="480" w:hanging="480"/>
        <w:jc w:val="both"/>
        <w:rPr>
          <w:rFonts w:ascii="Book Antiqua" w:hAnsi="Book Antiqua" w:hint="default"/>
          <w:sz w:val="20"/>
          <w:szCs w:val="24"/>
        </w:rPr>
      </w:pPr>
      <w:r>
        <w:rPr>
          <w:rFonts w:ascii="Book Antiqua" w:hAnsi="Book Antiqua"/>
          <w:sz w:val="20"/>
          <w:szCs w:val="24"/>
        </w:rPr>
        <w:t xml:space="preserve">Harun, H., Herliani, Y. K., &amp; Setyawati, A. (2019). Pengetahuan, Sikap Dan Kesiapan Mahasiswa Program Profesi Ners Dalam Penerapan Evidence Based Practice. </w:t>
      </w:r>
      <w:r>
        <w:rPr>
          <w:rFonts w:ascii="Book Antiqua" w:hAnsi="Book Antiqua"/>
          <w:i/>
          <w:iCs/>
          <w:sz w:val="20"/>
          <w:szCs w:val="24"/>
        </w:rPr>
        <w:t>Jurnal Perawat Indonesia</w:t>
      </w:r>
      <w:r>
        <w:rPr>
          <w:rFonts w:ascii="Book Antiqua" w:hAnsi="Book Antiqua"/>
          <w:sz w:val="20"/>
          <w:szCs w:val="24"/>
        </w:rPr>
        <w:t xml:space="preserve">, </w:t>
      </w:r>
      <w:r>
        <w:rPr>
          <w:rFonts w:ascii="Book Antiqua" w:hAnsi="Book Antiqua"/>
          <w:i/>
          <w:iCs/>
          <w:sz w:val="20"/>
          <w:szCs w:val="24"/>
        </w:rPr>
        <w:t>3</w:t>
      </w:r>
      <w:r>
        <w:rPr>
          <w:rFonts w:ascii="Book Antiqua" w:hAnsi="Book Antiqua"/>
          <w:sz w:val="20"/>
          <w:szCs w:val="24"/>
        </w:rPr>
        <w:t>(2), 117. https://doi.org/10.32584/jpi.v3i2.309</w:t>
      </w:r>
    </w:p>
    <w:p w:rsidR="00170148" w:rsidRDefault="004828BE">
      <w:pPr>
        <w:autoSpaceDE w:val="0"/>
        <w:autoSpaceDN w:val="0"/>
        <w:adjustRightInd w:val="0"/>
        <w:ind w:left="480" w:hanging="480"/>
        <w:jc w:val="both"/>
        <w:rPr>
          <w:rFonts w:ascii="Book Antiqua" w:eastAsia="Book Antiqua" w:hint="default"/>
          <w:sz w:val="20"/>
        </w:rPr>
      </w:pPr>
      <w:r>
        <w:rPr>
          <w:rFonts w:ascii="Book Antiqua" w:hAnsi="Book Antiqua" w:hint="default"/>
          <w:sz w:val="20"/>
        </w:rPr>
        <w:t xml:space="preserve">Karo, M. B. (2020). Perilaku Hidup Bersih dan Sehat (PHBS) Strategi Pencegahan Penyebaran Virus Covid-19. </w:t>
      </w:r>
      <w:r>
        <w:rPr>
          <w:rFonts w:ascii="Book Antiqua" w:hAnsi="Book Antiqua" w:hint="default"/>
          <w:i/>
          <w:sz w:val="20"/>
        </w:rPr>
        <w:t>Jurnal Keperawatan Komunitas</w:t>
      </w:r>
      <w:r>
        <w:rPr>
          <w:rFonts w:ascii="Book Antiqua" w:hAnsi="Book Antiqua" w:hint="default"/>
          <w:sz w:val="20"/>
        </w:rPr>
        <w:t xml:space="preserve">, </w:t>
      </w:r>
      <w:r>
        <w:rPr>
          <w:rFonts w:ascii="Book Antiqua" w:hAnsi="Book Antiqua" w:hint="default"/>
          <w:i/>
          <w:sz w:val="20"/>
        </w:rPr>
        <w:t>01</w:t>
      </w:r>
      <w:r>
        <w:rPr>
          <w:rFonts w:ascii="Book Antiqua" w:hAnsi="Book Antiqua" w:hint="default"/>
          <w:sz w:val="20"/>
        </w:rPr>
        <w:t>(01), 40–47. Retrieved from W Saputro, LY Budiarti, H Herawati - Dunia Keperawatan, 2016 - ppjp.unlam.ac.id</w:t>
      </w:r>
    </w:p>
    <w:p w:rsidR="00170148" w:rsidRDefault="004828BE">
      <w:pPr>
        <w:autoSpaceDE w:val="0"/>
        <w:autoSpaceDN w:val="0"/>
        <w:adjustRightInd w:val="0"/>
        <w:ind w:left="480" w:hanging="480"/>
        <w:jc w:val="both"/>
        <w:rPr>
          <w:rFonts w:ascii="Book Antiqua" w:eastAsia="Book Antiqua" w:hint="default"/>
          <w:sz w:val="20"/>
        </w:rPr>
      </w:pPr>
      <w:r w:rsidRPr="008E1F53">
        <w:rPr>
          <w:rFonts w:ascii="Book Antiqua" w:hAnsi="Book Antiqua" w:hint="default"/>
          <w:sz w:val="20"/>
          <w:lang w:val="da-DK"/>
        </w:rPr>
        <w:t xml:space="preserve">Lai, T. H. T., Tang, E. W. H., Fung, K. S. C., &amp; Li, K. K. W. (2020). </w:t>
      </w:r>
      <w:r>
        <w:rPr>
          <w:rFonts w:ascii="Book Antiqua" w:hAnsi="Book Antiqua" w:hint="default"/>
          <w:sz w:val="20"/>
        </w:rPr>
        <w:t xml:space="preserve">Reply to “Does hand hygiene reduce SARS-CoV-2 transmission?” </w:t>
      </w:r>
      <w:r>
        <w:rPr>
          <w:rFonts w:ascii="Book Antiqua" w:hAnsi="Book Antiqua" w:hint="default"/>
          <w:i/>
          <w:sz w:val="20"/>
        </w:rPr>
        <w:t>Graefe’s Archive for Clinical and Experimental Ophthalmology</w:t>
      </w:r>
      <w:r>
        <w:rPr>
          <w:rFonts w:ascii="Book Antiqua" w:hAnsi="Book Antiqua" w:hint="default"/>
          <w:sz w:val="20"/>
        </w:rPr>
        <w:t>. https://doi.org/https://doi.org/10.1007/s00417-020-04653-4</w:t>
      </w:r>
    </w:p>
    <w:p w:rsidR="00170148" w:rsidRDefault="004828BE">
      <w:pPr>
        <w:autoSpaceDE w:val="0"/>
        <w:autoSpaceDN w:val="0"/>
        <w:adjustRightInd w:val="0"/>
        <w:ind w:left="480" w:hanging="480"/>
        <w:jc w:val="both"/>
        <w:rPr>
          <w:rFonts w:ascii="Book Antiqua" w:eastAsia="Book Antiqua" w:hint="default"/>
          <w:sz w:val="20"/>
        </w:rPr>
      </w:pPr>
      <w:r>
        <w:rPr>
          <w:rFonts w:ascii="Book Antiqua" w:hAnsi="Book Antiqua" w:hint="default"/>
          <w:sz w:val="20"/>
        </w:rPr>
        <w:t xml:space="preserve">Massachusetts Medical Society. (2020). Aerosol and Surface Stability of SARS-CoV-2 as Compared with SARS-CoV-. </w:t>
      </w:r>
      <w:r>
        <w:rPr>
          <w:rFonts w:ascii="Book Antiqua" w:hAnsi="Book Antiqua" w:hint="default"/>
          <w:i/>
          <w:sz w:val="20"/>
        </w:rPr>
        <w:t>The New England Journal of Medicine</w:t>
      </w:r>
      <w:r>
        <w:rPr>
          <w:rFonts w:ascii="Book Antiqua" w:hAnsi="Book Antiqua" w:hint="default"/>
          <w:sz w:val="20"/>
        </w:rPr>
        <w:t xml:space="preserve">, </w:t>
      </w:r>
      <w:r>
        <w:rPr>
          <w:rFonts w:ascii="Book Antiqua" w:hAnsi="Book Antiqua" w:hint="default"/>
          <w:i/>
          <w:sz w:val="20"/>
        </w:rPr>
        <w:t>382</w:t>
      </w:r>
      <w:r>
        <w:rPr>
          <w:rFonts w:ascii="Book Antiqua" w:hAnsi="Book Antiqua" w:hint="default"/>
          <w:sz w:val="20"/>
        </w:rPr>
        <w:t>(16).</w:t>
      </w:r>
    </w:p>
    <w:p w:rsidR="00170148" w:rsidRDefault="004828BE">
      <w:pPr>
        <w:autoSpaceDE w:val="0"/>
        <w:autoSpaceDN w:val="0"/>
        <w:adjustRightInd w:val="0"/>
        <w:ind w:left="480" w:hanging="480"/>
        <w:jc w:val="both"/>
        <w:rPr>
          <w:rFonts w:ascii="Book Antiqua" w:hAnsi="Book Antiqua" w:hint="default"/>
          <w:sz w:val="20"/>
        </w:rPr>
      </w:pPr>
      <w:r>
        <w:rPr>
          <w:rFonts w:ascii="Book Antiqua" w:hAnsi="Book Antiqua" w:hint="default"/>
          <w:sz w:val="20"/>
        </w:rPr>
        <w:t xml:space="preserve">Nasir, N. M., Baequni, B., &amp; Nurmansyah, M. I. (2020). Misinformation Related To Covid-19 in Indonesia. </w:t>
      </w:r>
      <w:r>
        <w:rPr>
          <w:rFonts w:ascii="Book Antiqua" w:hAnsi="Book Antiqua" w:hint="default"/>
          <w:i/>
          <w:sz w:val="20"/>
        </w:rPr>
        <w:t>Jurnal Administrasi Kesehatan Indonesia</w:t>
      </w:r>
      <w:r>
        <w:rPr>
          <w:rFonts w:ascii="Book Antiqua" w:hAnsi="Book Antiqua" w:hint="default"/>
          <w:sz w:val="20"/>
        </w:rPr>
        <w:t xml:space="preserve">, </w:t>
      </w:r>
      <w:r>
        <w:rPr>
          <w:rFonts w:ascii="Book Antiqua" w:hAnsi="Book Antiqua" w:hint="default"/>
          <w:i/>
          <w:sz w:val="20"/>
        </w:rPr>
        <w:t>8</w:t>
      </w:r>
      <w:r>
        <w:rPr>
          <w:rFonts w:ascii="Book Antiqua" w:hAnsi="Book Antiqua" w:hint="default"/>
          <w:sz w:val="20"/>
        </w:rPr>
        <w:t xml:space="preserve">(2), 51. </w:t>
      </w:r>
      <w:hyperlink r:id="rId13" w:history="1">
        <w:r>
          <w:rPr>
            <w:rStyle w:val="Hyperlink"/>
            <w:rFonts w:ascii="Book Antiqua" w:hAnsi="Book Antiqua" w:hint="eastAsia"/>
            <w:sz w:val="20"/>
            <w:u w:val="none"/>
          </w:rPr>
          <w:t>https://doi.org/10.20473/jaki.v8i2.2020.51-59</w:t>
        </w:r>
      </w:hyperlink>
    </w:p>
    <w:p w:rsidR="00170148" w:rsidRDefault="004828BE">
      <w:pPr>
        <w:autoSpaceDE w:val="0"/>
        <w:autoSpaceDN w:val="0"/>
        <w:adjustRightInd w:val="0"/>
        <w:spacing w:after="0" w:line="240" w:lineRule="auto"/>
        <w:ind w:left="480" w:hanging="480"/>
        <w:jc w:val="both"/>
        <w:rPr>
          <w:rFonts w:ascii="Book Antiqua" w:hAnsi="Book Antiqua" w:hint="default"/>
          <w:sz w:val="20"/>
          <w:szCs w:val="24"/>
        </w:rPr>
      </w:pPr>
      <w:r>
        <w:rPr>
          <w:rFonts w:ascii="Book Antiqua" w:hAnsi="Book Antiqua"/>
          <w:sz w:val="20"/>
          <w:szCs w:val="24"/>
        </w:rPr>
        <w:t xml:space="preserve">Ramis, M. A., Chang, A., &amp; Nissen, L. (2018). Undergraduate Health Students' Intention to Use Evidence-Based Practice After Graduation: A Systematic Review of Predictive Modeling Studies. </w:t>
      </w:r>
      <w:r>
        <w:rPr>
          <w:rFonts w:ascii="Book Antiqua" w:hAnsi="Book Antiqua"/>
          <w:i/>
          <w:iCs/>
          <w:sz w:val="20"/>
          <w:szCs w:val="24"/>
        </w:rPr>
        <w:t>Worldviews on Evidence-Based Nursing</w:t>
      </w:r>
      <w:r>
        <w:rPr>
          <w:rFonts w:ascii="Book Antiqua" w:hAnsi="Book Antiqua"/>
          <w:sz w:val="20"/>
          <w:szCs w:val="24"/>
        </w:rPr>
        <w:t xml:space="preserve">, </w:t>
      </w:r>
      <w:r>
        <w:rPr>
          <w:rFonts w:ascii="Book Antiqua" w:hAnsi="Book Antiqua"/>
          <w:i/>
          <w:iCs/>
          <w:sz w:val="20"/>
          <w:szCs w:val="24"/>
        </w:rPr>
        <w:t>15</w:t>
      </w:r>
      <w:r>
        <w:rPr>
          <w:rFonts w:ascii="Book Antiqua" w:hAnsi="Book Antiqua"/>
          <w:sz w:val="20"/>
          <w:szCs w:val="24"/>
        </w:rPr>
        <w:t>(2), 140–148. https://doi.org/10.1111/wvn.12268</w:t>
      </w:r>
    </w:p>
    <w:p w:rsidR="00170148" w:rsidRDefault="00170148">
      <w:pPr>
        <w:autoSpaceDE w:val="0"/>
        <w:autoSpaceDN w:val="0"/>
        <w:adjustRightInd w:val="0"/>
        <w:ind w:left="480" w:hanging="480"/>
        <w:jc w:val="both"/>
        <w:rPr>
          <w:rFonts w:ascii="Book Antiqua" w:hAnsi="Book Antiqua" w:hint="default"/>
          <w:sz w:val="20"/>
        </w:rPr>
      </w:pPr>
    </w:p>
    <w:p w:rsidR="00170148" w:rsidRDefault="00170148">
      <w:pPr>
        <w:pStyle w:val="NormalWeb"/>
        <w:widowControl/>
        <w:spacing w:before="0" w:beforeAutospacing="0" w:after="0" w:afterAutospacing="0"/>
        <w:ind w:firstLine="420"/>
        <w:jc w:val="both"/>
        <w:rPr>
          <w:rFonts w:ascii="Book Antiqua" w:eastAsia="Book Antiqua" w:hAnsi="Book Antiqua" w:hint="default"/>
          <w:color w:val="000000"/>
          <w:kern w:val="0"/>
          <w:sz w:val="20"/>
        </w:rPr>
      </w:pPr>
    </w:p>
    <w:p w:rsidR="00170148" w:rsidRDefault="00170148">
      <w:pPr>
        <w:pStyle w:val="p21"/>
        <w:spacing w:line="240" w:lineRule="auto"/>
        <w:ind w:left="654" w:hangingChars="327" w:hanging="654"/>
        <w:jc w:val="both"/>
        <w:rPr>
          <w:rFonts w:ascii="Book Antiqua" w:eastAsia="Book Antiqua" w:hAnsi="Book Antiqua" w:hint="default"/>
          <w:sz w:val="20"/>
        </w:rPr>
        <w:sectPr w:rsidR="00170148">
          <w:type w:val="continuous"/>
          <w:pgSz w:w="11850" w:h="16783"/>
          <w:pgMar w:top="1701" w:right="1134" w:bottom="1134" w:left="1417" w:header="708" w:footer="709" w:gutter="0"/>
          <w:cols w:num="2" w:space="566"/>
          <w:docGrid w:linePitch="287"/>
        </w:sectPr>
      </w:pPr>
    </w:p>
    <w:p w:rsidR="00170148" w:rsidRDefault="00170148">
      <w:pPr>
        <w:pStyle w:val="p21"/>
        <w:spacing w:line="240" w:lineRule="auto"/>
        <w:jc w:val="both"/>
        <w:rPr>
          <w:rFonts w:ascii="Book Antiqua" w:eastAsia="Book Antiqua" w:hAnsi="Book Antiqua" w:hint="default"/>
          <w:sz w:val="22"/>
        </w:rPr>
      </w:pPr>
    </w:p>
    <w:sectPr w:rsidR="00170148">
      <w:type w:val="continuous"/>
      <w:pgSz w:w="11850" w:h="16783"/>
      <w:pgMar w:top="1440" w:right="1797" w:bottom="1440" w:left="1797" w:header="708" w:footer="708" w:gutter="0"/>
      <w:cols w:space="720"/>
      <w:docGrid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7F0" w:rsidRDefault="006D57F0">
      <w:pPr>
        <w:spacing w:after="0" w:line="240" w:lineRule="auto"/>
        <w:rPr>
          <w:rFonts w:hint="default"/>
        </w:rPr>
      </w:pPr>
      <w:r>
        <w:separator/>
      </w:r>
    </w:p>
  </w:endnote>
  <w:endnote w:type="continuationSeparator" w:id="0">
    <w:p w:rsidR="006D57F0" w:rsidRDefault="006D57F0">
      <w:pPr>
        <w:spacing w:after="0"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148" w:rsidRDefault="004828BE">
    <w:pPr>
      <w:pStyle w:val="Footer"/>
      <w:jc w:val="center"/>
      <w:rPr>
        <w:rFonts w:hint="default"/>
      </w:rPr>
    </w:pPr>
    <w:r>
      <w:rPr>
        <w:rFonts w:ascii="Book Antiqua" w:eastAsia="SimSun" w:hAnsi="Book Antiqua" w:hint="default"/>
        <w:lang w:val="id-ID"/>
      </w:rPr>
      <w:t>Copyright © 20</w:t>
    </w:r>
    <w:r>
      <w:rPr>
        <w:rFonts w:ascii="Book Antiqua" w:eastAsia="SimSun" w:hAnsi="Book Antiqua" w:hint="default"/>
      </w:rPr>
      <w:t>21</w:t>
    </w:r>
    <w:r>
      <w:rPr>
        <w:rFonts w:ascii="Book Antiqua" w:eastAsia="SimSun" w:hAnsi="Book Antiqua" w:hint="default"/>
        <w:lang w:val="id-ID"/>
      </w:rPr>
      <w:t>, Jurnal Riset Kesehatan, e-ISSN 2461-1026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7F0" w:rsidRDefault="006D57F0">
      <w:pPr>
        <w:spacing w:after="0" w:line="240" w:lineRule="auto"/>
        <w:rPr>
          <w:rFonts w:hint="default"/>
        </w:rPr>
      </w:pPr>
      <w:r>
        <w:separator/>
      </w:r>
    </w:p>
  </w:footnote>
  <w:footnote w:type="continuationSeparator" w:id="0">
    <w:p w:rsidR="006D57F0" w:rsidRDefault="006D57F0">
      <w:pPr>
        <w:spacing w:after="0" w:line="240" w:lineRule="auto"/>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148" w:rsidRDefault="00170148">
    <w:pPr>
      <w:pStyle w:val="Header"/>
      <w:jc w:val="center"/>
      <w:rPr>
        <w:rFonts w:ascii="Book Antiqua" w:eastAsia="SimSun" w:hAnsi="Book Antiqua" w:hint="default"/>
        <w:sz w:val="22"/>
        <w:lang w:eastAsia="id-ID"/>
      </w:rPr>
    </w:pPr>
  </w:p>
  <w:p w:rsidR="00170148" w:rsidRDefault="004828BE">
    <w:pPr>
      <w:pStyle w:val="Header"/>
      <w:jc w:val="center"/>
      <w:rPr>
        <w:rFonts w:ascii="Book Antiqua" w:eastAsia="SimSun" w:hAnsi="Book Antiqua" w:hint="default"/>
        <w:sz w:val="16"/>
        <w:lang w:eastAsia="id-ID"/>
      </w:rPr>
    </w:pPr>
    <w:r>
      <w:rPr>
        <w:rFonts w:ascii="Book Antiqua" w:eastAsia="SimSun" w:hAnsi="Book Antiqua" w:hint="default"/>
        <w:sz w:val="16"/>
        <w:lang w:eastAsia="id-ID"/>
      </w:rPr>
      <w:t xml:space="preserve">Jurnal Riset Kesehatan, x (x), xxxx, </w:t>
    </w:r>
    <w:r>
      <w:rPr>
        <w:rFonts w:ascii="Book Antiqua" w:eastAsia="SimSun" w:hAnsi="Book Antiqua" w:hint="default"/>
        <w:sz w:val="16"/>
        <w:lang w:eastAsia="id-ID"/>
      </w:rPr>
      <w:fldChar w:fldCharType="begin"/>
    </w:r>
    <w:r>
      <w:rPr>
        <w:rFonts w:ascii="Book Antiqua" w:eastAsia="SimSun" w:hAnsi="Book Antiqua" w:hint="default"/>
        <w:sz w:val="16"/>
        <w:lang w:eastAsia="id-ID"/>
      </w:rPr>
      <w:instrText xml:space="preserve"> PAGE  \* MERGEFORMAT </w:instrText>
    </w:r>
    <w:r>
      <w:rPr>
        <w:rFonts w:ascii="Book Antiqua" w:eastAsia="SimSun" w:hAnsi="Book Antiqua" w:hint="default"/>
        <w:sz w:val="16"/>
        <w:lang w:eastAsia="id-ID"/>
      </w:rPr>
      <w:fldChar w:fldCharType="separate"/>
    </w:r>
    <w:r w:rsidR="006D57F0">
      <w:rPr>
        <w:rFonts w:ascii="Book Antiqua" w:eastAsia="SimSun" w:hAnsi="Book Antiqua" w:hint="default"/>
        <w:noProof/>
        <w:sz w:val="16"/>
      </w:rPr>
      <w:t>1</w:t>
    </w:r>
    <w:r>
      <w:rPr>
        <w:rFonts w:ascii="Book Antiqua" w:eastAsia="SimSun" w:hAnsi="Book Antiqua" w:hint="default"/>
        <w:sz w:val="16"/>
      </w:rPr>
      <w:fldChar w:fldCharType="end"/>
    </w:r>
    <w:r>
      <w:rPr>
        <w:rFonts w:ascii="Book Antiqua" w:eastAsia="SimSun" w:hAnsi="Book Antiqua" w:hint="default"/>
        <w:sz w:val="16"/>
        <w:lang w:eastAsia="id-ID"/>
      </w:rPr>
      <w:t xml:space="preserve"> - </w:t>
    </w:r>
    <w:r>
      <w:rPr>
        <w:rFonts w:ascii="Book Antiqua" w:eastAsia="SimSun" w:hAnsi="Book Antiqua" w:hint="default"/>
        <w:sz w:val="16"/>
        <w:lang w:eastAsia="id-ID"/>
      </w:rPr>
      <w:fldChar w:fldCharType="begin"/>
    </w:r>
    <w:r>
      <w:rPr>
        <w:rFonts w:ascii="Book Antiqua" w:eastAsia="SimSun" w:hAnsi="Book Antiqua" w:hint="default"/>
        <w:sz w:val="16"/>
        <w:lang w:eastAsia="id-ID"/>
      </w:rPr>
      <w:instrText xml:space="preserve"> NUMPAGES  \* MERGEFORMAT </w:instrText>
    </w:r>
    <w:r>
      <w:rPr>
        <w:rFonts w:ascii="Book Antiqua" w:eastAsia="SimSun" w:hAnsi="Book Antiqua" w:hint="default"/>
        <w:sz w:val="16"/>
        <w:lang w:eastAsia="id-ID"/>
      </w:rPr>
      <w:fldChar w:fldCharType="separate"/>
    </w:r>
    <w:r w:rsidR="006D57F0">
      <w:rPr>
        <w:rFonts w:ascii="Book Antiqua" w:eastAsia="SimSun" w:hAnsi="Book Antiqua" w:hint="default"/>
        <w:noProof/>
        <w:sz w:val="16"/>
        <w:lang w:eastAsia="id-ID"/>
      </w:rPr>
      <w:t>1</w:t>
    </w:r>
    <w:r>
      <w:rPr>
        <w:rFonts w:ascii="Book Antiqua" w:eastAsia="SimSun" w:hAnsi="Book Antiqua" w:hint="default"/>
        <w:sz w:val="16"/>
        <w:lang w:eastAsia="id-ID"/>
      </w:rPr>
      <w:fldChar w:fldCharType="end"/>
    </w:r>
  </w:p>
  <w:p w:rsidR="00170148" w:rsidRDefault="004828BE">
    <w:pPr>
      <w:pStyle w:val="Header"/>
      <w:jc w:val="center"/>
      <w:rPr>
        <w:rFonts w:ascii="Book Antiqua" w:eastAsia="SimSun" w:hAnsi="Book Antiqua" w:hint="default"/>
        <w:sz w:val="16"/>
        <w:lang w:eastAsia="id-ID"/>
      </w:rPr>
    </w:pPr>
    <w:r>
      <w:rPr>
        <w:rFonts w:ascii="Book Antiqua" w:eastAsia="SimSun" w:hAnsi="Book Antiqua" w:hint="default"/>
        <w:sz w:val="16"/>
        <w:lang w:eastAsia="id-ID"/>
      </w:rPr>
      <w:t xml:space="preserve">DOI: 10.31983/jrk.vxix.xxxx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FCEA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1099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8F639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224A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F9C94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A82C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305A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1C97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8AA5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6F867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17E04"/>
    <w:multiLevelType w:val="hybridMultilevel"/>
    <w:tmpl w:val="16B0D75A"/>
    <w:lvl w:ilvl="0" w:tplc="0FF801CA">
      <w:start w:val="1"/>
      <w:numFmt w:val="decimal"/>
      <w:lvlText w:val="%1."/>
      <w:lvlJc w:val="left"/>
      <w:pPr>
        <w:ind w:left="786" w:hanging="360"/>
      </w:pPr>
      <w:rPr>
        <w:rFonts w:hint="default"/>
        <w:b w:val="0"/>
      </w:rPr>
    </w:lvl>
    <w:lvl w:ilvl="1" w:tplc="38090019">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13E909E6"/>
    <w:multiLevelType w:val="hybridMultilevel"/>
    <w:tmpl w:val="760C4BC4"/>
    <w:lvl w:ilvl="0" w:tplc="1A9C12AA">
      <w:start w:val="1"/>
      <w:numFmt w:val="lowerLetter"/>
      <w:lvlText w:val="%1)"/>
      <w:lvlJc w:val="left"/>
      <w:pPr>
        <w:ind w:left="2226" w:hanging="360"/>
      </w:pPr>
      <w:rPr>
        <w:rFonts w:hint="default"/>
      </w:rPr>
    </w:lvl>
    <w:lvl w:ilvl="1" w:tplc="38090019">
      <w:start w:val="1"/>
      <w:numFmt w:val="lowerLetter"/>
      <w:lvlText w:val="%2."/>
      <w:lvlJc w:val="left"/>
      <w:pPr>
        <w:ind w:left="2946" w:hanging="360"/>
      </w:pPr>
    </w:lvl>
    <w:lvl w:ilvl="2" w:tplc="3809001B">
      <w:start w:val="1"/>
      <w:numFmt w:val="lowerRoman"/>
      <w:lvlText w:val="%3."/>
      <w:lvlJc w:val="right"/>
      <w:pPr>
        <w:ind w:left="3666" w:hanging="180"/>
      </w:pPr>
    </w:lvl>
    <w:lvl w:ilvl="3" w:tplc="3809000F" w:tentative="1">
      <w:start w:val="1"/>
      <w:numFmt w:val="decimal"/>
      <w:lvlText w:val="%4."/>
      <w:lvlJc w:val="left"/>
      <w:pPr>
        <w:ind w:left="4386" w:hanging="360"/>
      </w:pPr>
    </w:lvl>
    <w:lvl w:ilvl="4" w:tplc="38090019" w:tentative="1">
      <w:start w:val="1"/>
      <w:numFmt w:val="lowerLetter"/>
      <w:lvlText w:val="%5."/>
      <w:lvlJc w:val="left"/>
      <w:pPr>
        <w:ind w:left="5106" w:hanging="360"/>
      </w:pPr>
    </w:lvl>
    <w:lvl w:ilvl="5" w:tplc="3809001B" w:tentative="1">
      <w:start w:val="1"/>
      <w:numFmt w:val="lowerRoman"/>
      <w:lvlText w:val="%6."/>
      <w:lvlJc w:val="right"/>
      <w:pPr>
        <w:ind w:left="5826" w:hanging="180"/>
      </w:pPr>
    </w:lvl>
    <w:lvl w:ilvl="6" w:tplc="3809000F" w:tentative="1">
      <w:start w:val="1"/>
      <w:numFmt w:val="decimal"/>
      <w:lvlText w:val="%7."/>
      <w:lvlJc w:val="left"/>
      <w:pPr>
        <w:ind w:left="6546" w:hanging="360"/>
      </w:pPr>
    </w:lvl>
    <w:lvl w:ilvl="7" w:tplc="38090019" w:tentative="1">
      <w:start w:val="1"/>
      <w:numFmt w:val="lowerLetter"/>
      <w:lvlText w:val="%8."/>
      <w:lvlJc w:val="left"/>
      <w:pPr>
        <w:ind w:left="7266" w:hanging="360"/>
      </w:pPr>
    </w:lvl>
    <w:lvl w:ilvl="8" w:tplc="3809001B" w:tentative="1">
      <w:start w:val="1"/>
      <w:numFmt w:val="lowerRoman"/>
      <w:lvlText w:val="%9."/>
      <w:lvlJc w:val="right"/>
      <w:pPr>
        <w:ind w:left="7986" w:hanging="180"/>
      </w:pPr>
    </w:lvl>
  </w:abstractNum>
  <w:abstractNum w:abstractNumId="12" w15:restartNumberingAfterBreak="0">
    <w:nsid w:val="4C7266FD"/>
    <w:multiLevelType w:val="hybridMultilevel"/>
    <w:tmpl w:val="9620ACE8"/>
    <w:lvl w:ilvl="0" w:tplc="04090015">
      <w:start w:val="1"/>
      <w:numFmt w:val="upperLetter"/>
      <w:lvlText w:val="%1."/>
      <w:lvlJc w:val="left"/>
      <w:pPr>
        <w:ind w:left="720" w:hanging="360"/>
      </w:pPr>
      <w:rPr>
        <w:rFonts w:hint="default"/>
      </w:rPr>
    </w:lvl>
    <w:lvl w:ilvl="1" w:tplc="6BEA4EBA">
      <w:start w:val="1"/>
      <w:numFmt w:val="upperLetter"/>
      <w:lvlText w:val="%2."/>
      <w:lvlJc w:val="left"/>
      <w:pPr>
        <w:ind w:left="360" w:hanging="360"/>
      </w:pPr>
      <w:rPr>
        <w:rFonts w:hint="default"/>
        <w:b/>
        <w:bCs/>
        <w:color w:val="auto"/>
      </w:rPr>
    </w:lvl>
    <w:lvl w:ilvl="2" w:tplc="5E880D7A">
      <w:start w:val="1"/>
      <w:numFmt w:val="decimal"/>
      <w:lvlText w:val="%3."/>
      <w:lvlJc w:val="left"/>
      <w:pPr>
        <w:ind w:left="2340" w:hanging="360"/>
      </w:pPr>
      <w:rPr>
        <w:rFonts w:hint="default"/>
      </w:rPr>
    </w:lvl>
    <w:lvl w:ilvl="3" w:tplc="DD3A751E">
      <w:start w:val="1"/>
      <w:numFmt w:val="decimal"/>
      <w:lvlText w:val="%4.)"/>
      <w:lvlJc w:val="left"/>
      <w:pPr>
        <w:ind w:left="2880" w:hanging="360"/>
      </w:pPr>
      <w:rPr>
        <w:rFonts w:hint="default"/>
      </w:rPr>
    </w:lvl>
    <w:lvl w:ilvl="4" w:tplc="04090011">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374B41"/>
    <w:multiLevelType w:val="multilevel"/>
    <w:tmpl w:val="55374B41"/>
    <w:lvl w:ilvl="0">
      <w:start w:val="1"/>
      <w:numFmt w:val="decimal"/>
      <w:lvlText w:val="%1."/>
      <w:lvlJc w:val="left"/>
      <w:pPr>
        <w:tabs>
          <w:tab w:val="left" w:pos="-578"/>
        </w:tabs>
        <w:ind w:left="142"/>
      </w:pPr>
      <w:rPr>
        <w:rFonts w:ascii="Times New Roman" w:eastAsia="SimSun" w:hAnsi="Times New Roman" w:hint="eastAsia"/>
        <w:u w:val="none"/>
      </w:rPr>
    </w:lvl>
    <w:lvl w:ilvl="1">
      <w:start w:val="1"/>
      <w:numFmt w:val="lowerLetter"/>
      <w:lvlText w:val="%2."/>
      <w:lvlJc w:val="left"/>
      <w:pPr>
        <w:tabs>
          <w:tab w:val="left" w:pos="0"/>
        </w:tabs>
        <w:ind w:left="1440"/>
      </w:pPr>
      <w:rPr>
        <w:rFonts w:ascii="Times New Roman" w:eastAsia="SimSun" w:hAnsi="Times New Roman" w:hint="eastAsia"/>
        <w:u w:val="none"/>
      </w:rPr>
    </w:lvl>
    <w:lvl w:ilvl="2">
      <w:start w:val="1"/>
      <w:numFmt w:val="lowerRoman"/>
      <w:lvlText w:val="%3."/>
      <w:lvlJc w:val="right"/>
      <w:pPr>
        <w:tabs>
          <w:tab w:val="left" w:pos="0"/>
        </w:tabs>
        <w:ind w:left="2160"/>
      </w:pPr>
      <w:rPr>
        <w:rFonts w:ascii="Times New Roman" w:eastAsia="SimSun" w:hAnsi="Times New Roman" w:hint="eastAsia"/>
        <w:u w:val="none"/>
      </w:rPr>
    </w:lvl>
    <w:lvl w:ilvl="3">
      <w:start w:val="1"/>
      <w:numFmt w:val="decimal"/>
      <w:lvlText w:val="%4."/>
      <w:lvlJc w:val="left"/>
      <w:pPr>
        <w:tabs>
          <w:tab w:val="left" w:pos="0"/>
        </w:tabs>
        <w:ind w:left="2880"/>
      </w:pPr>
      <w:rPr>
        <w:rFonts w:ascii="Times New Roman" w:eastAsia="SimSun" w:hAnsi="Times New Roman" w:hint="eastAsia"/>
        <w:u w:val="none"/>
      </w:rPr>
    </w:lvl>
    <w:lvl w:ilvl="4">
      <w:start w:val="1"/>
      <w:numFmt w:val="lowerLetter"/>
      <w:lvlText w:val="%5."/>
      <w:lvlJc w:val="left"/>
      <w:pPr>
        <w:tabs>
          <w:tab w:val="left" w:pos="0"/>
        </w:tabs>
        <w:ind w:left="3600"/>
      </w:pPr>
      <w:rPr>
        <w:rFonts w:ascii="Times New Roman" w:eastAsia="SimSun" w:hAnsi="Times New Roman" w:hint="eastAsia"/>
        <w:u w:val="none"/>
      </w:rPr>
    </w:lvl>
    <w:lvl w:ilvl="5">
      <w:start w:val="1"/>
      <w:numFmt w:val="lowerRoman"/>
      <w:lvlText w:val="%6."/>
      <w:lvlJc w:val="right"/>
      <w:pPr>
        <w:tabs>
          <w:tab w:val="left" w:pos="0"/>
        </w:tabs>
        <w:ind w:left="4320"/>
      </w:pPr>
      <w:rPr>
        <w:rFonts w:ascii="Times New Roman" w:eastAsia="SimSun" w:hAnsi="Times New Roman" w:hint="eastAsia"/>
        <w:u w:val="none"/>
      </w:rPr>
    </w:lvl>
    <w:lvl w:ilvl="6">
      <w:start w:val="1"/>
      <w:numFmt w:val="decimal"/>
      <w:lvlText w:val="%7."/>
      <w:lvlJc w:val="left"/>
      <w:pPr>
        <w:tabs>
          <w:tab w:val="left" w:pos="0"/>
        </w:tabs>
        <w:ind w:left="5040"/>
      </w:pPr>
      <w:rPr>
        <w:rFonts w:ascii="Times New Roman" w:eastAsia="SimSun" w:hAnsi="Times New Roman" w:hint="eastAsia"/>
        <w:u w:val="none"/>
      </w:rPr>
    </w:lvl>
    <w:lvl w:ilvl="7">
      <w:start w:val="1"/>
      <w:numFmt w:val="lowerLetter"/>
      <w:lvlText w:val="%8."/>
      <w:lvlJc w:val="left"/>
      <w:pPr>
        <w:tabs>
          <w:tab w:val="left" w:pos="0"/>
        </w:tabs>
        <w:ind w:left="5760"/>
      </w:pPr>
      <w:rPr>
        <w:rFonts w:ascii="Times New Roman" w:eastAsia="SimSun" w:hAnsi="Times New Roman" w:hint="eastAsia"/>
        <w:u w:val="none"/>
      </w:rPr>
    </w:lvl>
    <w:lvl w:ilvl="8">
      <w:start w:val="1"/>
      <w:numFmt w:val="lowerRoman"/>
      <w:lvlText w:val="%9."/>
      <w:lvlJc w:val="right"/>
      <w:pPr>
        <w:tabs>
          <w:tab w:val="left" w:pos="0"/>
        </w:tabs>
        <w:ind w:left="6480"/>
      </w:pPr>
      <w:rPr>
        <w:rFonts w:ascii="Times New Roman" w:eastAsia="SimSun" w:hAnsi="Times New Roman" w:hint="eastAsia"/>
        <w:u w:val="none"/>
      </w:rPr>
    </w:lvl>
  </w:abstractNum>
  <w:abstractNum w:abstractNumId="14" w15:restartNumberingAfterBreak="0">
    <w:nsid w:val="58963EA8"/>
    <w:multiLevelType w:val="hybridMultilevel"/>
    <w:tmpl w:val="EF4CF710"/>
    <w:lvl w:ilvl="0" w:tplc="CFF46316">
      <w:start w:val="2"/>
      <w:numFmt w:val="upp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0E1C50"/>
    <w:multiLevelType w:val="hybridMultilevel"/>
    <w:tmpl w:val="61B021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8D6371"/>
    <w:multiLevelType w:val="hybridMultilevel"/>
    <w:tmpl w:val="CACC6F8C"/>
    <w:lvl w:ilvl="0" w:tplc="D5501310">
      <w:start w:val="1"/>
      <w:numFmt w:val="upperLetter"/>
      <w:lvlText w:val="%1."/>
      <w:lvlJc w:val="left"/>
      <w:pPr>
        <w:ind w:left="786" w:hanging="360"/>
      </w:pPr>
      <w:rPr>
        <w:rFonts w:hint="default"/>
      </w:rPr>
    </w:lvl>
    <w:lvl w:ilvl="1" w:tplc="38090019">
      <w:start w:val="1"/>
      <w:numFmt w:val="lowerLetter"/>
      <w:lvlText w:val="%2."/>
      <w:lvlJc w:val="left"/>
      <w:pPr>
        <w:ind w:left="1506" w:hanging="360"/>
      </w:pPr>
    </w:lvl>
    <w:lvl w:ilvl="2" w:tplc="3809001B">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7" w15:restartNumberingAfterBreak="0">
    <w:nsid w:val="7EE74646"/>
    <w:multiLevelType w:val="hybridMultilevel"/>
    <w:tmpl w:val="2B0AA404"/>
    <w:lvl w:ilvl="0" w:tplc="A6E4F802">
      <w:start w:val="1"/>
      <w:numFmt w:val="decimal"/>
      <w:lvlText w:val="%1."/>
      <w:lvlJc w:val="left"/>
      <w:pPr>
        <w:ind w:left="786" w:hanging="360"/>
      </w:pPr>
      <w:rPr>
        <w:rFonts w:hint="default"/>
      </w:rPr>
    </w:lvl>
    <w:lvl w:ilvl="1" w:tplc="38090019">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6"/>
  </w:num>
  <w:num w:numId="14">
    <w:abstractNumId w:val="17"/>
  </w:num>
  <w:num w:numId="15">
    <w:abstractNumId w:val="11"/>
  </w:num>
  <w:num w:numId="16">
    <w:abstractNumId w:val="10"/>
  </w:num>
  <w:num w:numId="17">
    <w:abstractNumId w:val="1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ocumentProtection w:edit="forms" w:enforcement="0"/>
  <w:defaultTabStop w:val="420"/>
  <w:drawingGridHorizontalSpacing w:val="0"/>
  <w:drawingGridVerticalSpacing w:val="143"/>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B8FDBCA0"/>
    <w:rsid w:val="E7FF3629"/>
    <w:rsid w:val="EE9F20A0"/>
    <w:rsid w:val="F39796B6"/>
    <w:rsid w:val="FEBE3415"/>
    <w:rsid w:val="000509D5"/>
    <w:rsid w:val="001137EB"/>
    <w:rsid w:val="001243D5"/>
    <w:rsid w:val="00170148"/>
    <w:rsid w:val="00172A27"/>
    <w:rsid w:val="00247D77"/>
    <w:rsid w:val="002B76B1"/>
    <w:rsid w:val="00480C1D"/>
    <w:rsid w:val="004828BE"/>
    <w:rsid w:val="004A359D"/>
    <w:rsid w:val="004B18EE"/>
    <w:rsid w:val="005576E7"/>
    <w:rsid w:val="005C7CC6"/>
    <w:rsid w:val="006319FF"/>
    <w:rsid w:val="006D230B"/>
    <w:rsid w:val="006D57F0"/>
    <w:rsid w:val="006E129B"/>
    <w:rsid w:val="00761D74"/>
    <w:rsid w:val="008E1F53"/>
    <w:rsid w:val="00974890"/>
    <w:rsid w:val="00A231EE"/>
    <w:rsid w:val="00B7129B"/>
    <w:rsid w:val="00BC38E1"/>
    <w:rsid w:val="00C0293E"/>
    <w:rsid w:val="00DC1325"/>
    <w:rsid w:val="00F153F5"/>
    <w:rsid w:val="2223085F"/>
    <w:rsid w:val="302C1D0D"/>
    <w:rsid w:val="538E4E14"/>
    <w:rsid w:val="646C0D0F"/>
    <w:rsid w:val="7F7B9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B7FDBB6E-CB4C-4B1D-9B27-4C394CD7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nhideWhenUsed="1" w:qFormat="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qFormat="1"/>
    <w:lsdException w:name="Date" w:qFormat="1"/>
    <w:lsdException w:name="Body Text First Indent"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qFormat="1"/>
    <w:lsdException w:name="Table Simple 2" w:semiHidden="1" w:uiPriority="99" w:unhideWhenUsed="1" w:qFormat="1"/>
    <w:lsdException w:name="Table Simple 3" w:semiHidden="1" w:uiPriority="99" w:unhideWhenUsed="1" w:qFormat="1"/>
    <w:lsdException w:name="Table Classic 1" w:semiHidden="1" w:uiPriority="99" w:unhideWhenUsed="1" w:qFormat="1"/>
    <w:lsdException w:name="Table Classic 2" w:semiHidden="1" w:uiPriority="99" w:unhideWhenUsed="1" w:qFormat="1"/>
    <w:lsdException w:name="Table Classic 3" w:semiHidden="1" w:uiPriority="99" w:unhideWhenUsed="1" w:qFormat="1"/>
    <w:lsdException w:name="Table Classic 4" w:semiHidden="1" w:uiPriority="99" w:unhideWhenUsed="1" w:qFormat="1"/>
    <w:lsdException w:name="Table Colorful 1" w:semiHidden="1" w:uiPriority="99" w:unhideWhenUsed="1" w:qFormat="1"/>
    <w:lsdException w:name="Table Colorful 2" w:semiHidden="1" w:uiPriority="99" w:unhideWhenUsed="1" w:qFormat="1"/>
    <w:lsdException w:name="Table Colorful 3" w:semiHidden="1" w:uiPriority="99" w:unhideWhenUsed="1" w:qFormat="1"/>
    <w:lsdException w:name="Table Columns 1" w:semiHidden="1" w:uiPriority="99" w:unhideWhenUsed="1" w:qFormat="1"/>
    <w:lsdException w:name="Table Columns 2" w:semiHidden="1" w:uiPriority="99" w:unhideWhenUsed="1" w:qFormat="1"/>
    <w:lsdException w:name="Table Columns 3" w:semiHidden="1" w:uiPriority="99" w:unhideWhenUsed="1" w:qFormat="1"/>
    <w:lsdException w:name="Table Columns 4" w:semiHidden="1" w:uiPriority="99" w:unhideWhenUsed="1" w:qFormat="1"/>
    <w:lsdException w:name="Table Columns 5" w:semiHidden="1" w:uiPriority="99" w:unhideWhenUsed="1" w:qFormat="1"/>
    <w:lsdException w:name="Table Grid 1" w:semiHidden="1" w:uiPriority="99" w:unhideWhenUsed="1" w:qFormat="1"/>
    <w:lsdException w:name="Table Grid 2" w:semiHidden="1" w:uiPriority="99" w:unhideWhenUsed="1" w:qFormat="1"/>
    <w:lsdException w:name="Table Grid 3" w:semiHidden="1" w:uiPriority="99" w:unhideWhenUsed="1" w:qFormat="1"/>
    <w:lsdException w:name="Table Grid 4" w:semiHidden="1" w:uiPriority="99" w:unhideWhenUsed="1" w:qFormat="1"/>
    <w:lsdException w:name="Table Grid 5" w:semiHidden="1" w:uiPriority="99" w:unhideWhenUsed="1" w:qFormat="1"/>
    <w:lsdException w:name="Table Grid 6" w:semiHidden="1" w:uiPriority="99" w:unhideWhenUsed="1" w:qFormat="1"/>
    <w:lsdException w:name="Table Grid 7" w:semiHidden="1" w:uiPriority="99" w:unhideWhenUsed="1" w:qFormat="1"/>
    <w:lsdException w:name="Table Grid 8" w:semiHidden="1" w:uiPriority="99" w:unhideWhenUsed="1" w:qFormat="1"/>
    <w:lsdException w:name="Table List 1" w:semiHidden="1" w:uiPriority="99" w:unhideWhenUsed="1" w:qFormat="1"/>
    <w:lsdException w:name="Table List 2" w:semiHidden="1" w:uiPriority="99" w:unhideWhenUsed="1" w:qFormat="1"/>
    <w:lsdException w:name="Table List 3" w:semiHidden="1" w:uiPriority="99" w:unhideWhenUsed="1" w:qFormat="1"/>
    <w:lsdException w:name="Table List 4" w:semiHidden="1" w:uiPriority="99" w:unhideWhenUsed="1" w:qFormat="1"/>
    <w:lsdException w:name="Table List 5" w:semiHidden="1" w:uiPriority="99" w:unhideWhenUsed="1" w:qFormat="1"/>
    <w:lsdException w:name="Table List 6" w:semiHidden="1" w:uiPriority="99" w:unhideWhenUsed="1" w:qFormat="1"/>
    <w:lsdException w:name="Table List 7" w:semiHidden="1" w:uiPriority="99" w:unhideWhenUsed="1" w:qFormat="1"/>
    <w:lsdException w:name="Table List 8" w:semiHidden="1" w:uiPriority="99" w:unhideWhenUsed="1" w:qFormat="1"/>
    <w:lsdException w:name="Table 3D effects 1" w:semiHidden="1" w:uiPriority="99" w:unhideWhenUsed="1" w:qFormat="1"/>
    <w:lsdException w:name="Table 3D effects 2" w:semiHidden="1" w:uiPriority="99" w:unhideWhenUsed="1" w:qFormat="1"/>
    <w:lsdException w:name="Table 3D effects 3" w:semiHidden="1" w:uiPriority="99" w:unhideWhenUsed="1" w:qFormat="1"/>
    <w:lsdException w:name="Table Contemporary" w:semiHidden="1" w:uiPriority="99" w:unhideWhenUsed="1" w:qFormat="1"/>
    <w:lsdException w:name="Table Elegant" w:semiHidden="1" w:uiPriority="99" w:unhideWhenUsed="1" w:qFormat="1"/>
    <w:lsdException w:name="Table Professional" w:semiHidden="1" w:uiPriority="99" w:unhideWhenUsed="1" w:qFormat="1"/>
    <w:lsdException w:name="Table Subtle 1" w:semiHidden="1" w:uiPriority="99" w:unhideWhenUsed="1" w:qFormat="1"/>
    <w:lsdException w:name="Table Subtle 2" w:semiHidden="1" w:uiPriority="99" w:unhideWhenUsed="1" w:qFormat="1"/>
    <w:lsdException w:name="Table Web 1" w:semiHidden="1" w:uiPriority="99" w:unhideWhenUsed="1" w:qFormat="1"/>
    <w:lsdException w:name="Table Web 2" w:semiHidden="1" w:uiPriority="99" w:unhideWhenUsed="1" w:qFormat="1"/>
    <w:lsdException w:name="Table Web 3" w:semiHidden="1" w:uiPriority="99" w:unhideWhenUsed="1" w:qFormat="1"/>
    <w:lsdException w:name="Balloon Text" w:semiHidden="1" w:unhideWhenUsed="1" w:qFormat="1"/>
    <w:lsdException w:name="Table Grid" w:uiPriority="39" w:qFormat="1"/>
    <w:lsdException w:name="Table Theme" w:semiHidden="1" w:uiPriority="99"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pPr>
      <w:widowControl w:val="0"/>
    </w:pPr>
    <w:rPr>
      <w:rFonts w:eastAsia="Times New Roman" w:hint="eastAsia"/>
      <w:kern w:val="2"/>
      <w:sz w:val="24"/>
      <w:lang w:eastAsia="zh-CN"/>
    </w:rPr>
  </w:style>
  <w:style w:type="paragraph" w:styleId="Heading1">
    <w:name w:val="heading 1"/>
    <w:basedOn w:val="Normal"/>
    <w:next w:val="Normal"/>
    <w:unhideWhenUsed/>
    <w:qFormat/>
    <w:pPr>
      <w:keepNext/>
      <w:keepLines/>
      <w:spacing w:before="240" w:after="60"/>
      <w:outlineLvl w:val="0"/>
    </w:pPr>
    <w:rPr>
      <w:rFonts w:ascii="Arial" w:eastAsia="SimSun" w:hAnsi="Arial" w:hint="default"/>
      <w:b/>
      <w:kern w:val="44"/>
      <w:sz w:val="32"/>
    </w:rPr>
  </w:style>
  <w:style w:type="paragraph" w:styleId="Heading2">
    <w:name w:val="heading 2"/>
    <w:basedOn w:val="Normal"/>
    <w:next w:val="Normal"/>
    <w:unhideWhenUsed/>
    <w:qFormat/>
    <w:pPr>
      <w:keepNext/>
      <w:keepLines/>
      <w:spacing w:before="240" w:after="60"/>
      <w:outlineLvl w:val="1"/>
    </w:pPr>
    <w:rPr>
      <w:rFonts w:ascii="Arial" w:eastAsia="SimSun" w:hAnsi="Arial" w:hint="default"/>
      <w:b/>
      <w:i/>
      <w:sz w:val="28"/>
    </w:rPr>
  </w:style>
  <w:style w:type="paragraph" w:styleId="Heading3">
    <w:name w:val="heading 3"/>
    <w:basedOn w:val="Normal"/>
    <w:next w:val="Normal"/>
    <w:unhideWhenUsed/>
    <w:qFormat/>
    <w:pPr>
      <w:keepNext/>
      <w:keepLines/>
      <w:spacing w:before="240" w:after="60"/>
      <w:outlineLvl w:val="2"/>
    </w:pPr>
    <w:rPr>
      <w:rFonts w:ascii="Arial" w:eastAsia="SimSun" w:hAnsi="Arial" w:hint="default"/>
      <w:b/>
      <w:sz w:val="26"/>
    </w:rPr>
  </w:style>
  <w:style w:type="paragraph" w:styleId="Heading4">
    <w:name w:val="heading 4"/>
    <w:basedOn w:val="Normal"/>
    <w:next w:val="Normal"/>
    <w:unhideWhenUsed/>
    <w:qFormat/>
    <w:pPr>
      <w:keepNext/>
      <w:keepLines/>
      <w:spacing w:before="240" w:after="60"/>
      <w:outlineLvl w:val="3"/>
    </w:pPr>
    <w:rPr>
      <w:b/>
      <w:sz w:val="28"/>
    </w:rPr>
  </w:style>
  <w:style w:type="paragraph" w:styleId="Heading5">
    <w:name w:val="heading 5"/>
    <w:basedOn w:val="Normal"/>
    <w:next w:val="Normal"/>
    <w:unhideWhenUsed/>
    <w:qFormat/>
    <w:pPr>
      <w:keepNext/>
      <w:keepLines/>
      <w:spacing w:before="240" w:after="60"/>
      <w:outlineLvl w:val="4"/>
    </w:pPr>
    <w:rPr>
      <w:b/>
      <w:i/>
      <w:sz w:val="26"/>
    </w:rPr>
  </w:style>
  <w:style w:type="paragraph" w:styleId="Heading6">
    <w:name w:val="heading 6"/>
    <w:basedOn w:val="Normal"/>
    <w:next w:val="Normal"/>
    <w:unhideWhenUsed/>
    <w:qFormat/>
    <w:pPr>
      <w:keepNext/>
      <w:keepLines/>
      <w:spacing w:before="240" w:after="60"/>
      <w:outlineLvl w:val="5"/>
    </w:pPr>
    <w:rPr>
      <w:b/>
      <w:sz w:val="22"/>
    </w:rPr>
  </w:style>
  <w:style w:type="paragraph" w:styleId="Heading7">
    <w:name w:val="heading 7"/>
    <w:basedOn w:val="Normal"/>
    <w:next w:val="Normal"/>
    <w:unhideWhenUsed/>
    <w:qFormat/>
    <w:pPr>
      <w:keepNext/>
      <w:keepLines/>
      <w:spacing w:before="240" w:after="60"/>
      <w:outlineLvl w:val="6"/>
    </w:pPr>
  </w:style>
  <w:style w:type="paragraph" w:styleId="Heading8">
    <w:name w:val="heading 8"/>
    <w:basedOn w:val="Normal"/>
    <w:next w:val="Normal"/>
    <w:unhideWhenUsed/>
    <w:qFormat/>
    <w:pPr>
      <w:keepNext/>
      <w:keepLines/>
      <w:spacing w:before="240" w:after="60"/>
      <w:outlineLvl w:val="7"/>
    </w:pPr>
    <w:rPr>
      <w:i/>
    </w:rPr>
  </w:style>
  <w:style w:type="paragraph" w:styleId="Heading9">
    <w:name w:val="heading 9"/>
    <w:basedOn w:val="Normal"/>
    <w:next w:val="Normal"/>
    <w:unhideWhenUsed/>
    <w:qFormat/>
    <w:pPr>
      <w:keepNext/>
      <w:keepLines/>
      <w:spacing w:before="240" w:after="60"/>
      <w:outlineLvl w:val="8"/>
    </w:pPr>
    <w:rPr>
      <w:rFonts w:ascii="Arial" w:eastAsia="SimSun" w:hAnsi="Arial" w:hint="default"/>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nhideWhenUsed/>
    <w:qFormat/>
    <w:pPr>
      <w:tabs>
        <w:tab w:val="center" w:pos="4153"/>
        <w:tab w:val="right" w:pos="8306"/>
      </w:tabs>
      <w:snapToGrid w:val="0"/>
    </w:pPr>
    <w:rPr>
      <w:sz w:val="18"/>
    </w:rPr>
  </w:style>
  <w:style w:type="paragraph" w:styleId="Header">
    <w:name w:val="header"/>
    <w:basedOn w:val="Normal"/>
    <w:unhideWhenUsed/>
    <w:qFormat/>
    <w:pPr>
      <w:tabs>
        <w:tab w:val="center" w:pos="4153"/>
        <w:tab w:val="right" w:pos="8306"/>
      </w:tabs>
      <w:snapToGrid w:val="0"/>
    </w:pPr>
    <w:rPr>
      <w:sz w:val="18"/>
    </w:rPr>
  </w:style>
  <w:style w:type="paragraph" w:styleId="HTMLPreformatted">
    <w:name w:val="HTML Preformatted"/>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lang w:eastAsia="zh-CN"/>
    </w:rPr>
  </w:style>
  <w:style w:type="paragraph" w:styleId="NormalWeb">
    <w:name w:val="Normal (Web)"/>
    <w:basedOn w:val="Normal"/>
    <w:uiPriority w:val="99"/>
    <w:unhideWhenUsed/>
    <w:pPr>
      <w:spacing w:before="100" w:beforeAutospacing="1" w:after="100" w:afterAutospacing="1"/>
    </w:pPr>
  </w:style>
  <w:style w:type="paragraph" w:styleId="Subtitle">
    <w:name w:val="Subtitle"/>
    <w:basedOn w:val="Normal"/>
    <w:unhideWhenUsed/>
    <w:qFormat/>
    <w:pPr>
      <w:spacing w:after="60"/>
      <w:jc w:val="center"/>
      <w:outlineLvl w:val="1"/>
    </w:pPr>
    <w:rPr>
      <w:rFonts w:ascii="Arial" w:eastAsia="SimSun" w:hAnsi="Arial" w:hint="default"/>
    </w:rPr>
  </w:style>
  <w:style w:type="paragraph" w:styleId="Title">
    <w:name w:val="Title"/>
    <w:basedOn w:val="Normal"/>
    <w:next w:val="Subtitle"/>
    <w:unhideWhenUsed/>
    <w:qFormat/>
    <w:pPr>
      <w:suppressAutoHyphens/>
      <w:jc w:val="center"/>
    </w:pPr>
    <w:rPr>
      <w:b/>
      <w:kern w:val="1"/>
      <w:sz w:val="32"/>
      <w:lang w:eastAsia="ar-SA"/>
    </w:rPr>
  </w:style>
  <w:style w:type="character" w:styleId="Emphasis">
    <w:name w:val="Emphasis"/>
    <w:unhideWhenUsed/>
    <w:qFormat/>
    <w:rPr>
      <w:rFonts w:hint="default"/>
      <w:i/>
      <w:sz w:val="24"/>
    </w:rPr>
  </w:style>
  <w:style w:type="character" w:styleId="Hyperlink">
    <w:name w:val="Hyperlink"/>
    <w:unhideWhenUsed/>
    <w:rPr>
      <w:rFonts w:hint="default"/>
      <w:color w:val="auto"/>
      <w:sz w:val="24"/>
      <w:u w:val="single"/>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le">
    <w:name w:val="Style Title"/>
    <w:basedOn w:val="Title"/>
    <w:unhideWhenUsed/>
    <w:qFormat/>
    <w:rPr>
      <w:sz w:val="24"/>
    </w:rPr>
  </w:style>
  <w:style w:type="paragraph" w:customStyle="1" w:styleId="p18">
    <w:name w:val="p18"/>
    <w:unhideWhenUsed/>
    <w:qFormat/>
    <w:pPr>
      <w:spacing w:line="288" w:lineRule="auto"/>
    </w:pPr>
    <w:rPr>
      <w:rFonts w:eastAsia="Times New Roman" w:hint="eastAsia"/>
      <w:sz w:val="24"/>
      <w:lang w:eastAsia="zh-CN"/>
    </w:rPr>
  </w:style>
  <w:style w:type="paragraph" w:customStyle="1" w:styleId="p19">
    <w:name w:val="p19"/>
    <w:unhideWhenUsed/>
    <w:qFormat/>
    <w:pPr>
      <w:snapToGrid w:val="0"/>
    </w:pPr>
    <w:rPr>
      <w:rFonts w:eastAsia="Times New Roman" w:hint="eastAsia"/>
      <w:color w:val="000000"/>
      <w:sz w:val="24"/>
      <w:lang w:eastAsia="zh-CN"/>
    </w:rPr>
  </w:style>
  <w:style w:type="paragraph" w:customStyle="1" w:styleId="p20">
    <w:name w:val="p20"/>
    <w:unhideWhenUsed/>
    <w:qFormat/>
    <w:rPr>
      <w:rFonts w:ascii="Calibri" w:hAnsi="Calibri" w:hint="eastAsia"/>
      <w:sz w:val="24"/>
      <w:lang w:eastAsia="zh-CN"/>
    </w:rPr>
  </w:style>
  <w:style w:type="paragraph" w:customStyle="1" w:styleId="p0">
    <w:name w:val="p0"/>
    <w:unhideWhenUsed/>
    <w:qFormat/>
    <w:rPr>
      <w:rFonts w:eastAsia="Times New Roman" w:hint="eastAsia"/>
      <w:sz w:val="24"/>
      <w:lang w:eastAsia="zh-CN"/>
    </w:rPr>
  </w:style>
  <w:style w:type="paragraph" w:customStyle="1" w:styleId="Style26">
    <w:name w:val="_Style 26"/>
    <w:uiPriority w:val="1"/>
    <w:unhideWhenUsed/>
    <w:qFormat/>
    <w:rPr>
      <w:rFonts w:eastAsia="Times New Roman" w:hint="eastAsia"/>
      <w:sz w:val="24"/>
    </w:rPr>
  </w:style>
  <w:style w:type="paragraph" w:customStyle="1" w:styleId="p15">
    <w:name w:val="p15"/>
    <w:unhideWhenUsed/>
    <w:qFormat/>
    <w:pPr>
      <w:spacing w:line="273" w:lineRule="auto"/>
    </w:pPr>
    <w:rPr>
      <w:rFonts w:eastAsia="Times New Roman" w:hint="eastAsia"/>
      <w:sz w:val="24"/>
      <w:lang w:eastAsia="zh-CN"/>
    </w:rPr>
  </w:style>
  <w:style w:type="paragraph" w:customStyle="1" w:styleId="Noparagraphstyle">
    <w:name w:val="[No paragraph style]"/>
    <w:uiPriority w:val="99"/>
    <w:unhideWhenUsed/>
    <w:qFormat/>
    <w:pPr>
      <w:widowControl w:val="0"/>
      <w:autoSpaceDE w:val="0"/>
      <w:autoSpaceDN w:val="0"/>
      <w:spacing w:line="288" w:lineRule="auto"/>
      <w:textAlignment w:val="center"/>
    </w:pPr>
    <w:rPr>
      <w:rFonts w:eastAsia="Times New Roman" w:hint="eastAsia"/>
      <w:color w:val="000000"/>
      <w:sz w:val="24"/>
    </w:rPr>
  </w:style>
  <w:style w:type="paragraph" w:customStyle="1" w:styleId="Style29">
    <w:name w:val="_Style 29"/>
    <w:basedOn w:val="Normal"/>
    <w:uiPriority w:val="34"/>
    <w:unhideWhenUsed/>
    <w:qFormat/>
    <w:pPr>
      <w:ind w:left="720"/>
    </w:pPr>
  </w:style>
  <w:style w:type="paragraph" w:customStyle="1" w:styleId="p21">
    <w:name w:val="p21"/>
    <w:unhideWhenUsed/>
    <w:qFormat/>
    <w:pPr>
      <w:spacing w:line="273" w:lineRule="auto"/>
    </w:pPr>
    <w:rPr>
      <w:rFonts w:ascii="Calibri" w:hAnsi="Calibri" w:hint="eastAsia"/>
      <w:sz w:val="24"/>
      <w:lang w:eastAsia="zh-CN"/>
    </w:rPr>
  </w:style>
  <w:style w:type="paragraph" w:customStyle="1" w:styleId="p22">
    <w:name w:val="p22"/>
    <w:unhideWhenUsed/>
    <w:qFormat/>
    <w:pPr>
      <w:snapToGrid w:val="0"/>
    </w:pPr>
    <w:rPr>
      <w:rFonts w:ascii="Arial" w:hAnsi="Arial"/>
      <w:color w:val="000000"/>
      <w:sz w:val="24"/>
      <w:lang w:eastAsia="zh-CN"/>
    </w:rPr>
  </w:style>
  <w:style w:type="paragraph" w:customStyle="1" w:styleId="p17">
    <w:name w:val="p17"/>
    <w:unhideWhenUsed/>
    <w:rPr>
      <w:rFonts w:eastAsia="Times New Roman" w:hint="eastAsia"/>
      <w:sz w:val="24"/>
      <w:lang w:eastAsia="zh-CN"/>
    </w:rPr>
  </w:style>
  <w:style w:type="paragraph" w:customStyle="1" w:styleId="NormalParagraphStyle">
    <w:name w:val="NormalParagraphStyle"/>
    <w:basedOn w:val="Noparagraphstyle"/>
    <w:uiPriority w:val="99"/>
    <w:unhideWhenUsed/>
    <w:qFormat/>
  </w:style>
  <w:style w:type="character" w:customStyle="1" w:styleId="18">
    <w:name w:val="18"/>
    <w:unhideWhenUsed/>
    <w:rPr>
      <w:rFonts w:ascii="Times New Roman" w:eastAsia="SimSun" w:hAnsi="Times New Roman" w:hint="eastAsia"/>
      <w:sz w:val="24"/>
    </w:rPr>
  </w:style>
  <w:style w:type="character" w:customStyle="1" w:styleId="15">
    <w:name w:val="15"/>
    <w:unhideWhenUsed/>
    <w:qFormat/>
    <w:rPr>
      <w:rFonts w:ascii="Times New Roman" w:eastAsia="SimSun" w:hAnsi="Times New Roman" w:hint="eastAsia"/>
      <w:sz w:val="24"/>
    </w:rPr>
  </w:style>
  <w:style w:type="character" w:customStyle="1" w:styleId="l6">
    <w:name w:val="l6"/>
    <w:unhideWhenUsed/>
    <w:qFormat/>
    <w:rPr>
      <w:rFonts w:hint="default"/>
      <w:sz w:val="24"/>
    </w:rPr>
  </w:style>
  <w:style w:type="character" w:customStyle="1" w:styleId="st">
    <w:name w:val="st"/>
    <w:basedOn w:val="DefaultParagraphFont"/>
    <w:unhideWhenUsed/>
    <w:qFormat/>
    <w:rPr>
      <w:rFonts w:hint="default"/>
      <w:sz w:val="24"/>
    </w:rPr>
  </w:style>
  <w:style w:type="character" w:customStyle="1" w:styleId="17">
    <w:name w:val="17"/>
    <w:unhideWhenUsed/>
    <w:qFormat/>
    <w:rPr>
      <w:rFonts w:ascii="Times New Roman" w:eastAsia="SimSun" w:hAnsi="Times New Roman" w:hint="eastAsia"/>
      <w:color w:val="0000FF"/>
      <w:sz w:val="24"/>
      <w:u w:val="single"/>
    </w:rPr>
  </w:style>
  <w:style w:type="character" w:customStyle="1" w:styleId="19">
    <w:name w:val="19"/>
    <w:unhideWhenUsed/>
    <w:rPr>
      <w:rFonts w:ascii="Times New Roman" w:eastAsia="SimSun" w:hAnsi="Times New Roman" w:hint="eastAsia"/>
      <w:sz w:val="24"/>
    </w:rPr>
  </w:style>
  <w:style w:type="character" w:customStyle="1" w:styleId="16">
    <w:name w:val="16"/>
    <w:unhideWhenUsed/>
    <w:rPr>
      <w:rFonts w:ascii="Times New Roman" w:eastAsia="SimSun" w:hAnsi="Times New Roman" w:hint="eastAsia"/>
      <w:color w:val="0000FF"/>
      <w:sz w:val="24"/>
      <w:u w:val="single"/>
    </w:rPr>
  </w:style>
  <w:style w:type="character" w:customStyle="1" w:styleId="10">
    <w:name w:val="10"/>
    <w:unhideWhenUsed/>
    <w:rPr>
      <w:rFonts w:ascii="Times New Roman" w:eastAsia="SimSun" w:hAnsi="Times New Roman" w:hint="eastAsia"/>
      <w:sz w:val="24"/>
    </w:rPr>
  </w:style>
  <w:style w:type="paragraph" w:styleId="BalloonText">
    <w:name w:val="Balloon Text"/>
    <w:basedOn w:val="Normal"/>
    <w:link w:val="BalloonTextChar"/>
    <w:qFormat/>
    <w:rsid w:val="00124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243D5"/>
    <w:rPr>
      <w:rFonts w:ascii="Tahoma" w:eastAsia="Times New Roman" w:hAnsi="Tahoma" w:cs="Tahoma"/>
      <w:kern w:val="2"/>
      <w:sz w:val="16"/>
      <w:szCs w:val="16"/>
      <w:lang w:eastAsia="zh-CN"/>
    </w:rPr>
  </w:style>
  <w:style w:type="paragraph" w:styleId="ListParagraph">
    <w:name w:val="List Paragraph"/>
    <w:basedOn w:val="Normal"/>
    <w:uiPriority w:val="34"/>
    <w:qFormat/>
    <w:rsid w:val="00C0293E"/>
    <w:pPr>
      <w:ind w:left="720"/>
      <w:contextualSpacing/>
    </w:pPr>
  </w:style>
  <w:style w:type="paragraph" w:styleId="Caption">
    <w:name w:val="caption"/>
    <w:basedOn w:val="Normal"/>
    <w:next w:val="Normal"/>
    <w:uiPriority w:val="35"/>
    <w:unhideWhenUsed/>
    <w:qFormat/>
    <w:rsid w:val="00761D74"/>
    <w:pPr>
      <w:widowControl/>
      <w:spacing w:after="200" w:line="240" w:lineRule="auto"/>
    </w:pPr>
    <w:rPr>
      <w:rFonts w:asciiTheme="minorHAnsi" w:eastAsiaTheme="minorHAnsi" w:hAnsiTheme="minorHAnsi" w:cstheme="minorBidi" w:hint="default"/>
      <w:b/>
      <w:bCs/>
      <w:color w:val="4F81BD" w:themeColor="accent1"/>
      <w:kern w:val="0"/>
      <w:sz w:val="18"/>
      <w:szCs w:val="18"/>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4496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20473/jaki.v8i2.2020.51-5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nedt.2013.07.020.Ke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urniatipujilestari@"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9156</Words>
  <Characters>52195</Characters>
  <Application>Microsoft Office Word</Application>
  <DocSecurity>0</DocSecurity>
  <Lines>434</Lines>
  <Paragraphs>122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Kurniati Puji Lestaria ; Reni Titis Antika Sarib ; Iis Sriningsihc ; Wagiyod </vt:lpstr>
    </vt:vector>
  </TitlesOfParts>
  <Company/>
  <LinksUpToDate>false</LinksUpToDate>
  <CharactersWithSpaces>61229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UPPM-02-PC</dc:creator>
  <cp:lastModifiedBy>Asus</cp:lastModifiedBy>
  <cp:revision>2</cp:revision>
  <cp:lastPrinted>2024-12-06T11:22:00Z</cp:lastPrinted>
  <dcterms:created xsi:type="dcterms:W3CDTF">2024-12-25T13:52:00Z</dcterms:created>
  <dcterms:modified xsi:type="dcterms:W3CDTF">2024-12-25T13:52:00Z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1033-3.1.4.5932</vt:lpwstr>
  </property>
</Properties>
</file>