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40EE0" w14:textId="77777777" w:rsidR="005E39CA" w:rsidRDefault="0070248E" w:rsidP="007F1CFD">
      <w:pPr>
        <w:pStyle w:val="IEEETitle"/>
        <w:contextualSpacing/>
        <w:rPr>
          <w:b/>
          <w:bCs/>
          <w:sz w:val="24"/>
        </w:rPr>
      </w:pPr>
      <w:r>
        <w:rPr>
          <w:b/>
          <w:bCs/>
          <w:sz w:val="24"/>
        </w:rPr>
        <w:t xml:space="preserve">PENGGUNAAN APLIKASI BERBASIS WEB UNTUK </w:t>
      </w:r>
      <w:r w:rsidR="005E39CA">
        <w:rPr>
          <w:b/>
          <w:bCs/>
          <w:sz w:val="24"/>
        </w:rPr>
        <w:t xml:space="preserve">MEMONITORING </w:t>
      </w:r>
      <w:r>
        <w:rPr>
          <w:b/>
          <w:bCs/>
          <w:sz w:val="24"/>
        </w:rPr>
        <w:t xml:space="preserve">PERUBAHAN PENGETAHUAN LANSIA TENTANG </w:t>
      </w:r>
    </w:p>
    <w:p w14:paraId="7C0AAEA1" w14:textId="4EFBA075" w:rsidR="007F1CFD" w:rsidRPr="007F1CFD" w:rsidRDefault="0070248E" w:rsidP="005E39CA">
      <w:pPr>
        <w:pStyle w:val="IEEETitle"/>
        <w:contextualSpacing/>
        <w:rPr>
          <w:b/>
          <w:bCs/>
          <w:sz w:val="24"/>
        </w:rPr>
      </w:pPr>
      <w:r>
        <w:rPr>
          <w:b/>
          <w:bCs/>
          <w:sz w:val="24"/>
        </w:rPr>
        <w:t xml:space="preserve">PEMELIHARAAN KESEHATAN GIGI </w:t>
      </w:r>
    </w:p>
    <w:p w14:paraId="26E6E72D" w14:textId="40DA5A23" w:rsidR="00BD4F35" w:rsidRDefault="00BD4F35" w:rsidP="00BD4F35">
      <w:pPr>
        <w:pBdr>
          <w:bottom w:val="single" w:sz="4" w:space="1" w:color="auto"/>
        </w:pBdr>
        <w:spacing w:after="0" w:line="240" w:lineRule="auto"/>
        <w:jc w:val="center"/>
        <w:rPr>
          <w:rFonts w:ascii="Times New Roman" w:hAnsi="Times New Roman" w:cs="Times New Roman"/>
          <w:b/>
          <w:sz w:val="24"/>
          <w:szCs w:val="24"/>
        </w:rPr>
      </w:pPr>
    </w:p>
    <w:p w14:paraId="69033E3F" w14:textId="77777777" w:rsidR="005E39CA" w:rsidRDefault="005E39CA" w:rsidP="005E39CA">
      <w:pPr>
        <w:spacing w:after="0" w:line="240" w:lineRule="auto"/>
        <w:jc w:val="center"/>
        <w:rPr>
          <w:rFonts w:ascii="Times New Roman" w:eastAsia="SimSun" w:hAnsi="Times New Roman" w:cs="Times New Roman"/>
          <w:b/>
          <w:bCs/>
          <w:color w:val="000000"/>
          <w:sz w:val="24"/>
          <w:szCs w:val="24"/>
          <w:lang w:val="en-AU" w:eastAsia="zh-CN"/>
        </w:rPr>
      </w:pPr>
      <w:r w:rsidRPr="005E39CA">
        <w:rPr>
          <w:rFonts w:ascii="Times New Roman" w:eastAsia="SimSun" w:hAnsi="Times New Roman" w:cs="Times New Roman"/>
          <w:b/>
          <w:bCs/>
          <w:color w:val="000000"/>
          <w:sz w:val="24"/>
          <w:szCs w:val="24"/>
          <w:lang w:val="en-AU" w:eastAsia="zh-CN"/>
        </w:rPr>
        <w:t>USE OF A WEB-BASED APPLICATION FOR MONITORING CHANGES IN ELDERLY KNOWLEDGE ON ORAL HEALTH MAINTENANCE</w:t>
      </w:r>
    </w:p>
    <w:p w14:paraId="362BBAB7" w14:textId="77777777" w:rsidR="00B244CB" w:rsidRPr="0070248E" w:rsidRDefault="00B244CB" w:rsidP="005E39CA">
      <w:pPr>
        <w:spacing w:after="0" w:line="240" w:lineRule="auto"/>
        <w:rPr>
          <w:rFonts w:ascii="Times New Roman" w:eastAsia="SimSun" w:hAnsi="Times New Roman" w:cs="Times New Roman"/>
          <w:b/>
          <w:bCs/>
          <w:color w:val="000000"/>
          <w:sz w:val="24"/>
          <w:szCs w:val="24"/>
          <w:lang w:val="en-AU" w:eastAsia="zh-CN"/>
        </w:rPr>
      </w:pPr>
    </w:p>
    <w:p w14:paraId="5EB3823B" w14:textId="5D988542" w:rsidR="00D93740" w:rsidRPr="00D93740" w:rsidRDefault="00D93740" w:rsidP="00D93740">
      <w:pPr>
        <w:pStyle w:val="IEEEAuthorName"/>
        <w:spacing w:before="0" w:after="0"/>
        <w:contextualSpacing/>
        <w:rPr>
          <w:sz w:val="20"/>
          <w:szCs w:val="20"/>
          <w:u w:val="single"/>
        </w:rPr>
      </w:pPr>
      <w:r w:rsidRPr="00D93740">
        <w:rPr>
          <w:sz w:val="20"/>
          <w:szCs w:val="20"/>
          <w:u w:val="single"/>
        </w:rPr>
        <w:t>Badai Septa Wahyudadi</w:t>
      </w:r>
      <w:r w:rsidRPr="00D93740">
        <w:rPr>
          <w:sz w:val="20"/>
          <w:szCs w:val="20"/>
          <w:u w:val="single"/>
          <w:vertAlign w:val="superscript"/>
        </w:rPr>
        <w:t>1</w:t>
      </w:r>
      <w:r w:rsidRPr="00D93740">
        <w:rPr>
          <w:sz w:val="20"/>
          <w:szCs w:val="20"/>
          <w:u w:val="single"/>
        </w:rPr>
        <w:t xml:space="preserve"> Endah Aryati Eko Ningtyas</w:t>
      </w:r>
      <w:r w:rsidRPr="00D93740">
        <w:rPr>
          <w:sz w:val="20"/>
          <w:szCs w:val="20"/>
          <w:u w:val="single"/>
          <w:vertAlign w:val="superscript"/>
        </w:rPr>
        <w:t>2</w:t>
      </w:r>
      <w:r w:rsidRPr="00D93740">
        <w:rPr>
          <w:sz w:val="20"/>
          <w:szCs w:val="20"/>
          <w:u w:val="single"/>
        </w:rPr>
        <w:t xml:space="preserve"> Benni Benyamin</w:t>
      </w:r>
      <w:r w:rsidRPr="00D93740">
        <w:rPr>
          <w:sz w:val="20"/>
          <w:szCs w:val="20"/>
          <w:u w:val="single"/>
          <w:vertAlign w:val="superscript"/>
        </w:rPr>
        <w:t>3</w:t>
      </w:r>
      <w:r w:rsidRPr="00D93740">
        <w:rPr>
          <w:sz w:val="20"/>
          <w:szCs w:val="20"/>
          <w:u w:val="single"/>
        </w:rPr>
        <w:t xml:space="preserve"> Umi Puji Rahayu</w:t>
      </w:r>
      <w:r w:rsidRPr="00D93740">
        <w:rPr>
          <w:sz w:val="20"/>
          <w:szCs w:val="20"/>
          <w:u w:val="single"/>
          <w:vertAlign w:val="superscript"/>
        </w:rPr>
        <w:t>4</w:t>
      </w:r>
      <w:r w:rsidRPr="00D93740">
        <w:rPr>
          <w:sz w:val="20"/>
          <w:szCs w:val="20"/>
          <w:u w:val="single"/>
        </w:rPr>
        <w:t xml:space="preserve"> Kholifah Nur Ijazati</w:t>
      </w:r>
      <w:r w:rsidRPr="00D93740">
        <w:rPr>
          <w:sz w:val="20"/>
          <w:szCs w:val="20"/>
          <w:u w:val="single"/>
          <w:vertAlign w:val="superscript"/>
        </w:rPr>
        <w:t>5</w:t>
      </w:r>
    </w:p>
    <w:p w14:paraId="7B0681B7" w14:textId="7C10A669" w:rsidR="00D93740" w:rsidRDefault="00D93740" w:rsidP="00D93740">
      <w:pPr>
        <w:pStyle w:val="IEEEAuthorAffiliation"/>
        <w:spacing w:after="0"/>
        <w:contextualSpacing/>
      </w:pPr>
      <w:r w:rsidRPr="00C63BA8">
        <w:rPr>
          <w:vertAlign w:val="superscript"/>
        </w:rPr>
        <w:t>1</w:t>
      </w:r>
      <w:r>
        <w:t xml:space="preserve">Dental Health Department, </w:t>
      </w:r>
      <w:r w:rsidRPr="00C63BA8">
        <w:t>Poltekkes Kemenkes Makassar</w:t>
      </w:r>
      <w:r>
        <w:t>, Indonesia</w:t>
      </w:r>
    </w:p>
    <w:p w14:paraId="43AB426A" w14:textId="494DB262" w:rsidR="00D93740" w:rsidRDefault="00D93740" w:rsidP="00D93740">
      <w:pPr>
        <w:pStyle w:val="IEEEAuthorAffiliation"/>
        <w:spacing w:after="0"/>
        <w:contextualSpacing/>
        <w:rPr>
          <w:iCs/>
          <w:szCs w:val="20"/>
          <w:vertAlign w:val="superscript"/>
        </w:rPr>
      </w:pPr>
      <w:r w:rsidRPr="004C735B">
        <w:rPr>
          <w:iCs/>
          <w:szCs w:val="20"/>
          <w:vertAlign w:val="superscript"/>
        </w:rPr>
        <w:t>2</w:t>
      </w:r>
      <w:r>
        <w:rPr>
          <w:iCs/>
          <w:szCs w:val="20"/>
          <w:vertAlign w:val="superscript"/>
        </w:rPr>
        <w:t xml:space="preserve">,4,&amp;5 </w:t>
      </w:r>
      <w:r>
        <w:rPr>
          <w:iCs/>
          <w:szCs w:val="20"/>
        </w:rPr>
        <w:t xml:space="preserve">Postgraduate, </w:t>
      </w:r>
      <w:r w:rsidRPr="004C735B">
        <w:rPr>
          <w:iCs/>
          <w:szCs w:val="20"/>
        </w:rPr>
        <w:t>Poltekkes Kemenkes Semarang</w:t>
      </w:r>
      <w:r>
        <w:rPr>
          <w:iCs/>
          <w:szCs w:val="20"/>
        </w:rPr>
        <w:t>, Indonesia</w:t>
      </w:r>
      <w:r w:rsidRPr="004C735B">
        <w:rPr>
          <w:iCs/>
          <w:szCs w:val="20"/>
          <w:vertAlign w:val="superscript"/>
        </w:rPr>
        <w:t xml:space="preserve"> </w:t>
      </w:r>
    </w:p>
    <w:p w14:paraId="1C1FBCF1" w14:textId="02477DE9" w:rsidR="00D93740" w:rsidRPr="00597C26" w:rsidRDefault="00D93740" w:rsidP="00D93740">
      <w:pPr>
        <w:pStyle w:val="IEEEAuthorAffiliation"/>
        <w:spacing w:after="0"/>
        <w:contextualSpacing/>
        <w:rPr>
          <w:iCs/>
          <w:szCs w:val="20"/>
        </w:rPr>
      </w:pPr>
      <w:bookmarkStart w:id="0" w:name="_Hlk180592469"/>
      <w:r>
        <w:rPr>
          <w:vertAlign w:val="superscript"/>
        </w:rPr>
        <w:t>3</w:t>
      </w:r>
      <w:r w:rsidRPr="004C735B">
        <w:rPr>
          <w:iCs/>
          <w:szCs w:val="20"/>
        </w:rPr>
        <w:t>Faculty of Dentistry,</w:t>
      </w:r>
      <w:r w:rsidRPr="004C735B">
        <w:rPr>
          <w:iCs/>
          <w:szCs w:val="20"/>
          <w:vertAlign w:val="superscript"/>
        </w:rPr>
        <w:t xml:space="preserve"> </w:t>
      </w:r>
      <w:r w:rsidRPr="004C735B">
        <w:rPr>
          <w:iCs/>
          <w:szCs w:val="20"/>
        </w:rPr>
        <w:t>Sultan Agung University</w:t>
      </w:r>
      <w:r>
        <w:rPr>
          <w:iCs/>
          <w:szCs w:val="20"/>
        </w:rPr>
        <w:t>, Indonesia</w:t>
      </w:r>
    </w:p>
    <w:bookmarkEnd w:id="0"/>
    <w:p w14:paraId="0593328A" w14:textId="77777777" w:rsidR="00D93740" w:rsidRDefault="00D93740" w:rsidP="00716B4A">
      <w:pPr>
        <w:spacing w:after="0" w:line="240" w:lineRule="auto"/>
        <w:jc w:val="center"/>
        <w:rPr>
          <w:rFonts w:ascii="Times New Roman" w:hAnsi="Times New Roman" w:cs="Times New Roman"/>
          <w:i/>
          <w:color w:val="000000"/>
          <w:sz w:val="20"/>
          <w:szCs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6"/>
      </w:tblGrid>
      <w:tr w:rsidR="00716B4A" w14:paraId="26E6E73A" w14:textId="77777777" w:rsidTr="00B120ED">
        <w:trPr>
          <w:trHeight w:val="895"/>
          <w:jc w:val="center"/>
        </w:trPr>
        <w:tc>
          <w:tcPr>
            <w:tcW w:w="8156" w:type="dxa"/>
          </w:tcPr>
          <w:p w14:paraId="26E6E735" w14:textId="7E8DA8C3" w:rsidR="0040091F" w:rsidRPr="00A964A7" w:rsidRDefault="0040091F" w:rsidP="0040091F">
            <w:pPr>
              <w:jc w:val="center"/>
              <w:rPr>
                <w:rFonts w:ascii="Times New Roman" w:hAnsi="Times New Roman" w:cs="Times New Roman"/>
                <w:sz w:val="20"/>
                <w:szCs w:val="20"/>
              </w:rPr>
            </w:pPr>
            <w:r w:rsidRPr="00A964A7">
              <w:rPr>
                <w:rFonts w:ascii="Times New Roman" w:hAnsi="Times New Roman" w:cs="Times New Roman"/>
                <w:sz w:val="20"/>
                <w:szCs w:val="20"/>
              </w:rPr>
              <w:t xml:space="preserve">Corresponding author: </w:t>
            </w:r>
            <w:r w:rsidR="00D93740">
              <w:rPr>
                <w:rFonts w:ascii="Times New Roman" w:hAnsi="Times New Roman" w:cs="Times New Roman"/>
                <w:sz w:val="20"/>
                <w:szCs w:val="20"/>
              </w:rPr>
              <w:t>Endah Aryati Eko Ningtyas</w:t>
            </w:r>
          </w:p>
          <w:p w14:paraId="26E6E736" w14:textId="016BB25D" w:rsidR="0040091F" w:rsidRDefault="0040091F" w:rsidP="0040091F">
            <w:pPr>
              <w:jc w:val="center"/>
              <w:rPr>
                <w:rFonts w:ascii="Times New Roman" w:hAnsi="Times New Roman" w:cs="Times New Roman"/>
                <w:color w:val="000000"/>
                <w:sz w:val="20"/>
                <w:szCs w:val="20"/>
              </w:rPr>
            </w:pPr>
            <w:r w:rsidRPr="00A964A7">
              <w:rPr>
                <w:rFonts w:ascii="Times New Roman" w:hAnsi="Times New Roman" w:cs="Times New Roman"/>
                <w:sz w:val="20"/>
                <w:szCs w:val="20"/>
              </w:rPr>
              <w:t xml:space="preserve">Email: </w:t>
            </w:r>
            <w:hyperlink r:id="rId8" w:history="1">
              <w:r w:rsidR="00D93740" w:rsidRPr="004F2C0D">
                <w:rPr>
                  <w:rStyle w:val="Hyperlink"/>
                  <w:rFonts w:ascii="Times New Roman" w:hAnsi="Times New Roman" w:cs="Times New Roman"/>
                  <w:sz w:val="20"/>
                  <w:szCs w:val="20"/>
                </w:rPr>
                <w:t>endaharyati@poltekkes-smg.ac.id</w:t>
              </w:r>
            </w:hyperlink>
            <w:r w:rsidR="00D93740">
              <w:rPr>
                <w:rFonts w:ascii="Times New Roman" w:hAnsi="Times New Roman" w:cs="Times New Roman"/>
                <w:color w:val="000000"/>
                <w:sz w:val="20"/>
                <w:szCs w:val="20"/>
              </w:rPr>
              <w:t xml:space="preserve"> </w:t>
            </w:r>
          </w:p>
          <w:p w14:paraId="7E15B791" w14:textId="77777777" w:rsidR="00D93740" w:rsidRPr="00A964A7" w:rsidRDefault="00D93740" w:rsidP="0040091F">
            <w:pPr>
              <w:jc w:val="center"/>
              <w:rPr>
                <w:rFonts w:ascii="Times New Roman" w:hAnsi="Times New Roman" w:cs="Times New Roman"/>
                <w:sz w:val="20"/>
                <w:szCs w:val="20"/>
              </w:rPr>
            </w:pPr>
          </w:p>
          <w:p w14:paraId="26E6E737" w14:textId="77777777" w:rsidR="0040091F" w:rsidRDefault="0040091F" w:rsidP="0040091F">
            <w:pPr>
              <w:shd w:val="clear" w:color="auto" w:fill="FFFFFF"/>
              <w:jc w:val="center"/>
              <w:rPr>
                <w:rFonts w:ascii="Times New Roman" w:eastAsia="Times New Roman" w:hAnsi="Times New Roman" w:cs="Times New Roman"/>
                <w:sz w:val="20"/>
                <w:szCs w:val="20"/>
                <w:lang w:eastAsia="en-US"/>
              </w:rPr>
            </w:pPr>
          </w:p>
          <w:p w14:paraId="26E6E738" w14:textId="77777777" w:rsidR="006F0913" w:rsidRDefault="00716B4A" w:rsidP="0040091F">
            <w:pPr>
              <w:shd w:val="clear" w:color="auto" w:fill="FFFFFF"/>
              <w:jc w:val="center"/>
              <w:rPr>
                <w:rFonts w:ascii="Times New Roman" w:eastAsia="Times New Roman" w:hAnsi="Times New Roman" w:cs="Times New Roman"/>
                <w:sz w:val="20"/>
                <w:szCs w:val="20"/>
                <w:lang w:eastAsia="en-US"/>
              </w:rPr>
            </w:pPr>
            <w:r w:rsidRPr="00716B4A">
              <w:rPr>
                <w:rFonts w:ascii="Times New Roman" w:eastAsia="Times New Roman" w:hAnsi="Times New Roman" w:cs="Times New Roman"/>
                <w:sz w:val="20"/>
                <w:szCs w:val="20"/>
                <w:lang w:eastAsia="en-US"/>
              </w:rPr>
              <w:t xml:space="preserve">Received: </w:t>
            </w:r>
            <w:r w:rsidR="0040091F">
              <w:rPr>
                <w:rFonts w:ascii="Times New Roman" w:eastAsia="Times New Roman" w:hAnsi="Times New Roman" w:cs="Times New Roman"/>
                <w:sz w:val="20"/>
                <w:szCs w:val="20"/>
                <w:lang w:eastAsia="en-US"/>
              </w:rPr>
              <w:t>written by editor</w:t>
            </w:r>
            <w:r w:rsidRPr="00716B4A">
              <w:rPr>
                <w:rFonts w:ascii="Times New Roman" w:eastAsia="Times New Roman" w:hAnsi="Times New Roman" w:cs="Times New Roman"/>
                <w:sz w:val="20"/>
                <w:szCs w:val="20"/>
                <w:lang w:eastAsia="en-US"/>
              </w:rPr>
              <w:t xml:space="preserve">; Revised: </w:t>
            </w:r>
            <w:r w:rsidR="0040091F">
              <w:rPr>
                <w:rFonts w:ascii="Times New Roman" w:eastAsia="Times New Roman" w:hAnsi="Times New Roman" w:cs="Times New Roman"/>
                <w:sz w:val="20"/>
                <w:szCs w:val="20"/>
                <w:lang w:eastAsia="en-US"/>
              </w:rPr>
              <w:t>written by editor</w:t>
            </w:r>
            <w:r w:rsidRPr="00716B4A">
              <w:rPr>
                <w:rFonts w:ascii="Times New Roman" w:eastAsia="Times New Roman" w:hAnsi="Times New Roman" w:cs="Times New Roman"/>
                <w:sz w:val="20"/>
                <w:szCs w:val="20"/>
                <w:lang w:eastAsia="en-US"/>
              </w:rPr>
              <w:t xml:space="preserve">; Accepted: </w:t>
            </w:r>
            <w:r w:rsidR="0040091F">
              <w:rPr>
                <w:rFonts w:ascii="Times New Roman" w:eastAsia="Times New Roman" w:hAnsi="Times New Roman" w:cs="Times New Roman"/>
                <w:sz w:val="20"/>
                <w:szCs w:val="20"/>
                <w:lang w:eastAsia="en-US"/>
              </w:rPr>
              <w:t>written by editor</w:t>
            </w:r>
          </w:p>
          <w:p w14:paraId="26E6E739" w14:textId="77777777" w:rsidR="00716B4A" w:rsidRPr="0040091F" w:rsidRDefault="00310E75" w:rsidP="006F0913">
            <w:pPr>
              <w:shd w:val="clear" w:color="auto" w:fill="FFFFFF"/>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r>
              <w:rPr>
                <w:rFonts w:ascii="Times New Roman" w:hAnsi="Times New Roman" w:cs="Times New Roman"/>
                <w:color w:val="000000"/>
                <w:sz w:val="20"/>
                <w:szCs w:val="20"/>
              </w:rPr>
              <w:t>(</w:t>
            </w:r>
            <w:r w:rsidR="006F0913">
              <w:rPr>
                <w:rFonts w:ascii="Times New Roman" w:hAnsi="Times New Roman" w:cs="Times New Roman"/>
                <w:color w:val="000000"/>
                <w:sz w:val="20"/>
                <w:szCs w:val="20"/>
              </w:rPr>
              <w:t xml:space="preserve">date of submission, </w:t>
            </w:r>
            <w:r>
              <w:rPr>
                <w:rFonts w:ascii="Times New Roman" w:hAnsi="Times New Roman" w:cs="Times New Roman"/>
                <w:color w:val="000000"/>
                <w:sz w:val="20"/>
                <w:szCs w:val="20"/>
              </w:rPr>
              <w:t>10pt)</w:t>
            </w:r>
          </w:p>
        </w:tc>
      </w:tr>
    </w:tbl>
    <w:p w14:paraId="26E6E73B" w14:textId="77777777" w:rsidR="00BD4F35" w:rsidRPr="00465BF5" w:rsidRDefault="00BD4F35" w:rsidP="00BD4F35">
      <w:pPr>
        <w:spacing w:after="0" w:line="360" w:lineRule="auto"/>
        <w:jc w:val="center"/>
        <w:rPr>
          <w:rFonts w:ascii="Times New Roman" w:hAnsi="Times New Roman" w:cs="Times New Roman"/>
          <w:b/>
          <w:color w:val="000000"/>
          <w:sz w:val="24"/>
          <w:szCs w:val="24"/>
        </w:rPr>
      </w:pPr>
    </w:p>
    <w:p w14:paraId="26E6E73C" w14:textId="77777777" w:rsidR="00BD4F35" w:rsidRPr="00465BF5" w:rsidRDefault="00BD4F35" w:rsidP="00BD4F35">
      <w:pPr>
        <w:spacing w:after="0" w:line="360" w:lineRule="auto"/>
        <w:jc w:val="center"/>
        <w:rPr>
          <w:rFonts w:ascii="Times New Roman" w:hAnsi="Times New Roman" w:cs="Times New Roman"/>
          <w:b/>
          <w:color w:val="000000"/>
        </w:rPr>
      </w:pPr>
      <w:r w:rsidRPr="00465BF5">
        <w:rPr>
          <w:rFonts w:ascii="Times New Roman" w:hAnsi="Times New Roman" w:cs="Times New Roman"/>
          <w:b/>
          <w:color w:val="000000"/>
        </w:rPr>
        <w:t>ABSTRACT</w:t>
      </w:r>
    </w:p>
    <w:p w14:paraId="481961AC" w14:textId="2B3E6F4E" w:rsidR="004E3494" w:rsidRDefault="004E3494" w:rsidP="004E3494">
      <w:pPr>
        <w:spacing w:after="0" w:line="240" w:lineRule="auto"/>
        <w:jc w:val="both"/>
        <w:rPr>
          <w:rFonts w:ascii="Times New Roman" w:hAnsi="Times New Roman" w:cs="Times New Roman"/>
          <w:color w:val="000000"/>
        </w:rPr>
      </w:pPr>
      <w:r w:rsidRPr="004E3494">
        <w:rPr>
          <w:rFonts w:ascii="Times New Roman" w:hAnsi="Times New Roman" w:cs="Times New Roman"/>
          <w:color w:val="000000"/>
        </w:rPr>
        <w:t>Abstract-Background: The results of the Basic Health Research (2018) stated that the Indonesian population with oral problems aged 55-64 years was 61.9% and aged&gt; 65 years was 54.2%. Some changes in teeth and oral cavity that are often found in the elderly are tooth loss which results in impaired food digestion, pain / pain in the teeth due to periodontal tissue and root caries, reduced vertical dimensions of artificial teeth, gingivitis and various other abnormalities. It is hoped that after being given oral health education through an innovation program in the form of a stroke elderly companion link or what is called “LIPSIAS” can increase the knowledge of stroke elderly on how to maintain their oral health through the help of a companion so that it can have a good influence on their dental hygiene. Research Objectives: Producing a dental and oral health maintenance program through empowering elderly companions in the form of the LIPSIAS Application as a medium for promoting oral health in the Elderly Social Service Home. Methods: Using Quantitative methods with pre-experiment research design (one group pretest and posttest design). The sampling technique was purposive sampling consisting of 14 elderly stroke at the Elderly Social Services Home. Results: The results of the statistical test showed P value &lt;0.05, meaning that there was a significant difference in the knowledge of dental and oral health maintenance of stroke elderly before and after being given the LIPSIAS application intervention. Before treatment, the average value of knowledge of stroke elderly was 4.07 (poor category) increased to 8 (good category). Conclusion: The LIPSIAS application is effective in increasing the knowledge of stroke elderly about how to maintain oral health through companion assistance.</w:t>
      </w:r>
    </w:p>
    <w:p w14:paraId="1540C26E" w14:textId="77777777" w:rsidR="004E3494" w:rsidRPr="004E3494" w:rsidRDefault="004E3494" w:rsidP="004E3494">
      <w:pPr>
        <w:spacing w:after="0" w:line="240" w:lineRule="auto"/>
        <w:jc w:val="both"/>
        <w:rPr>
          <w:rFonts w:ascii="Times New Roman" w:hAnsi="Times New Roman" w:cs="Times New Roman"/>
          <w:color w:val="000000"/>
        </w:rPr>
      </w:pPr>
    </w:p>
    <w:p w14:paraId="7F6B07C1" w14:textId="2F715E61" w:rsidR="004E3494" w:rsidRDefault="004E3494" w:rsidP="00352531">
      <w:pPr>
        <w:spacing w:after="0" w:line="240" w:lineRule="auto"/>
        <w:jc w:val="both"/>
        <w:rPr>
          <w:rFonts w:ascii="Times New Roman" w:hAnsi="Times New Roman" w:cs="Times New Roman"/>
          <w:color w:val="000000"/>
          <w:sz w:val="20"/>
          <w:szCs w:val="20"/>
        </w:rPr>
      </w:pPr>
      <w:r w:rsidRPr="004E3494">
        <w:rPr>
          <w:rFonts w:ascii="Times New Roman" w:hAnsi="Times New Roman" w:cs="Times New Roman"/>
          <w:color w:val="000000"/>
          <w:sz w:val="20"/>
          <w:szCs w:val="20"/>
        </w:rPr>
        <w:t>Keywords: Elderly, Stroke, Dental health maintenance knowledge</w:t>
      </w:r>
    </w:p>
    <w:p w14:paraId="26E6E742" w14:textId="77777777" w:rsidR="00716B4A" w:rsidRPr="00465BF5" w:rsidRDefault="00716B4A" w:rsidP="00BD4F35">
      <w:pPr>
        <w:spacing w:after="0" w:line="240" w:lineRule="auto"/>
        <w:jc w:val="both"/>
        <w:rPr>
          <w:rFonts w:ascii="Times New Roman" w:hAnsi="Times New Roman" w:cs="Times New Roman"/>
          <w:color w:val="000000"/>
          <w:sz w:val="20"/>
          <w:szCs w:val="20"/>
        </w:rPr>
      </w:pPr>
    </w:p>
    <w:p w14:paraId="26E6E743" w14:textId="77777777" w:rsidR="007B6727" w:rsidRDefault="007B6727" w:rsidP="00BD4F35">
      <w:pPr>
        <w:spacing w:after="0" w:line="360" w:lineRule="auto"/>
        <w:rPr>
          <w:rFonts w:ascii="Times New Roman" w:hAnsi="Times New Roman" w:cs="Times New Roman"/>
          <w:sz w:val="24"/>
          <w:szCs w:val="24"/>
        </w:rPr>
      </w:pPr>
    </w:p>
    <w:p w14:paraId="26E6E744" w14:textId="77777777" w:rsidR="007B6727" w:rsidRPr="00465BF5" w:rsidRDefault="007B6727" w:rsidP="00BD4F35">
      <w:pPr>
        <w:spacing w:after="0"/>
        <w:rPr>
          <w:rFonts w:ascii="Times New Roman" w:hAnsi="Times New Roman" w:cs="Times New Roman"/>
          <w:sz w:val="24"/>
          <w:szCs w:val="24"/>
        </w:rPr>
        <w:sectPr w:rsidR="007B6727" w:rsidRPr="00465BF5" w:rsidSect="00F47F91">
          <w:headerReference w:type="default" r:id="rId9"/>
          <w:footerReference w:type="default" r:id="rId10"/>
          <w:pgSz w:w="11909" w:h="16834" w:code="9"/>
          <w:pgMar w:top="1701" w:right="1134" w:bottom="1134" w:left="1418" w:header="1418" w:footer="720" w:gutter="0"/>
          <w:pgNumType w:start="1" w:chapStyle="1"/>
          <w:cols w:space="720"/>
          <w:docGrid w:linePitch="360"/>
        </w:sectPr>
      </w:pPr>
    </w:p>
    <w:p w14:paraId="26E6E746" w14:textId="3702A936" w:rsidR="00096DD2" w:rsidRPr="00D63C1F" w:rsidRDefault="00716B4A" w:rsidP="00D63C1F">
      <w:pPr>
        <w:spacing w:after="0" w:line="240" w:lineRule="auto"/>
        <w:jc w:val="center"/>
        <w:rPr>
          <w:rFonts w:ascii="Times New Roman" w:hAnsi="Times New Roman"/>
          <w:b/>
        </w:rPr>
      </w:pPr>
      <w:r w:rsidRPr="00096DD2">
        <w:rPr>
          <w:rFonts w:ascii="Times New Roman" w:hAnsi="Times New Roman"/>
          <w:b/>
        </w:rPr>
        <w:t>Introduction</w:t>
      </w:r>
    </w:p>
    <w:p w14:paraId="26E6E748" w14:textId="0A6A0A70" w:rsidR="00BD4F35" w:rsidRDefault="00BD4F35" w:rsidP="006A7980">
      <w:pPr>
        <w:tabs>
          <w:tab w:val="left" w:pos="3969"/>
          <w:tab w:val="left" w:pos="4253"/>
        </w:tabs>
        <w:spacing w:after="0" w:line="240" w:lineRule="auto"/>
        <w:jc w:val="both"/>
        <w:rPr>
          <w:rFonts w:ascii="Times New Roman" w:hAnsi="Times New Roman"/>
        </w:rPr>
      </w:pPr>
    </w:p>
    <w:p w14:paraId="3CAACB2F" w14:textId="1B27602D" w:rsidR="00D63C1F" w:rsidRDefault="00D63C1F" w:rsidP="006A7980">
      <w:pPr>
        <w:pStyle w:val="IEEEParagraph"/>
        <w:ind w:firstLine="289"/>
        <w:contextualSpacing/>
        <w:rPr>
          <w:sz w:val="22"/>
          <w:szCs w:val="22"/>
        </w:rPr>
      </w:pPr>
      <w:r w:rsidRPr="00D63C1F">
        <w:rPr>
          <w:sz w:val="22"/>
          <w:szCs w:val="22"/>
        </w:rPr>
        <w:t xml:space="preserve">Health is a state of good physical, mental, spiritual, and social health that allows everyone to live a productive life socially, and economically </w:t>
      </w:r>
      <w:r w:rsidRPr="00D63C1F">
        <w:rPr>
          <w:b/>
          <w:bCs/>
          <w:sz w:val="22"/>
          <w:szCs w:val="22"/>
        </w:rPr>
        <w:fldChar w:fldCharType="begin" w:fldLock="1"/>
      </w:r>
      <w:r w:rsidRPr="00D63C1F">
        <w:rPr>
          <w:b/>
          <w:bCs/>
          <w:sz w:val="22"/>
          <w:szCs w:val="22"/>
        </w:rPr>
        <w:instrText>ADDIN CSL_CITATION {"citationItems":[{"id":"ITEM-1","itemData":{"DOI":"10.24843/jpu.2017.v04.i02.p04","ISSN":"2354-5607","abstract":"Pada era globalisasi ini,  dengan perkembangan pengobatan medis yang semakin maju, masih banyak dari masyarakat yang tetap menggunakan pengobatan tradisional, yang dipercaya mampu mengobati berbagai penyakit. Menurut Asimo (1995) penggunaan pengobatan tradisional tidak terlepas dari ketidakpuasan terhadap pengobatan medis. Hal ini juga terlihat pada masyarakat Bali yang masih banyak menggunakan pengobatan tradisional. Gagasan tersebut didukung dengan pre-eliminary study yang menunjukan adanya ketergantungan terhadap pengobatan tradisional yang mengakibatkan keterlambatan pengobatan medis. Penelitian ini menggunakan metode penelitian kualitatif dengan desain penelitian studi kasus. Pengambilan data pada penelitian ini menggunakan teknik wawancara dan observasi. Responden yang digunakan pada penelitian ini merupakan salah seorang kepala keluarga dengan kasus keterlambatan pengobatan medis, dengan dua orang informan untuk memperkuat data penelitian. Hasil penelitian ini menjelaskan bahwa konsep sehat dan sakit pada responden penelitian dipengaruhi oleh; 1) faktor biologis yakni pemahaman terhadap kondisi fisiologisnya; 2) faktor psikologis yang mempengaruhi responden terhadap konsep sehat dan sakitnya dan cara yang dilakukan untuk menjaga kesehatannya; 3) faktor sosial yakni pengaruh masyarakat dan keluarga terhadap konsep sehat dan sakitnya. Health seeking behavior responden terbentuk, karena dipengaruhi oleh perilaku yang dibentuk berdasarkan pengetahuan dan sikap responden serta health system model yang terdiri dari karakteristik predisposisi, karakteristik pendukung, dan karakteristik kebutuhan yang juga dipengaruhi oleh faktor biologis, psikologis, serta sosialnya. Berdasarkan hasil temuan tersebut didapatkan bahwa health seeking behavior responden dalam menggunakan pengobatan usada dan juga medis dipengaruhi oleh konsep sehat dan sakit yang dimilikinya.\r  \r Kata Kunci: konsep sehat dan sakit, health seeking behavior, health system model","author":[{"dropping-particle":"","family":"Krisna Triyono","given":"Samuel Dwi","non-dropping-particle":"","parse-names":false,"suffix":""},{"dropping-particle":"","family":"K. Herdiyanto","given":"Yohanes","non-dropping-particle":"","parse-names":false,"suffix":""}],"container-title":"Jurnal Psikologi Udayana","id":"ITEM-1","issue":"02","issued":{"date-parts":[["2018"]]},"page":"263","title":"Konsep Sehat Dan Sakit Pada Individu Dengan Urolithiasis (Kencing Batu) Di Kabupaten Klungkung, Bali","type":"article-journal","volume":"4"},"uris":["http://www.mendeley.com/documents/?uuid=3e67c991-8c17-4c13-8aa2-10d29bebbcf7"]}],"mendeley":{"formattedCitation":"[1]","plainTextFormattedCitation":"[1]","previouslyFormattedCitation":"[1]"},"properties":{"noteIndex":0},"schema":"https://github.com/citation-style-language/schema/raw/master/csl-citation.json"}</w:instrText>
      </w:r>
      <w:r w:rsidRPr="00D63C1F">
        <w:rPr>
          <w:b/>
          <w:bCs/>
          <w:sz w:val="22"/>
          <w:szCs w:val="22"/>
        </w:rPr>
        <w:fldChar w:fldCharType="separate"/>
      </w:r>
      <w:r w:rsidRPr="00D63C1F">
        <w:rPr>
          <w:b/>
          <w:bCs/>
          <w:noProof/>
          <w:sz w:val="22"/>
          <w:szCs w:val="22"/>
        </w:rPr>
        <w:t>[1]</w:t>
      </w:r>
      <w:r w:rsidRPr="00D63C1F">
        <w:rPr>
          <w:b/>
          <w:bCs/>
          <w:sz w:val="22"/>
          <w:szCs w:val="22"/>
        </w:rPr>
        <w:fldChar w:fldCharType="end"/>
      </w:r>
      <w:r w:rsidRPr="00D63C1F">
        <w:rPr>
          <w:sz w:val="22"/>
          <w:szCs w:val="22"/>
        </w:rPr>
        <w:t xml:space="preserve">. Elderly (elderly) any individual aged 60 years or more physically looks different from other age groups and is vulnerable to stroke </w:t>
      </w:r>
      <w:r w:rsidRPr="00D63C1F">
        <w:rPr>
          <w:b/>
          <w:bCs/>
          <w:sz w:val="22"/>
          <w:szCs w:val="22"/>
        </w:rPr>
        <w:fldChar w:fldCharType="begin" w:fldLock="1"/>
      </w:r>
      <w:r w:rsidRPr="00D63C1F">
        <w:rPr>
          <w:b/>
          <w:bCs/>
          <w:sz w:val="22"/>
          <w:szCs w:val="22"/>
        </w:rPr>
        <w:instrText>ADDIN CSL_CITATION {"citationItems":[{"id":"ITEM-1","itemData":{"DOI":"10.35890/jkdh.v8i1.115","ISSN":"2302-3082","abstract":"Abstrak\r Latar Belakang. Lansia adalah seseorang yang berusia 60 tahun atau lebih, yang secara fisik terlihat berbeda dengan kelompok umur lainnya. Banyak perubahan dan masalah yang terjadi pada lansia seiring dengan proses penuaan, seperti penurunan fungsi biologis, psikologis, sosial, ataupun ekonomi. Kesejahteraan hidup lansia yang meningkat akan meningkatkan pula kualitas hidup lansia karena proses penuaan, penyakit, dan berbagai perubahan dan penurunan fungsi yang dialami lansia mengurangi kualitas hidup lansia secara progresif. Berdasarkan Data Statistik Indonesia didapatkan jumlah populasi lansia di DKI Jakarta pada tahun 2005 sejumlah 404.010 orang. Di perkotaan sendiri presentase lansia yang bekerja pada tahun 2011 adalah 38,99%. Sebanyak 70% dari lansia di Jakarta masih merupakan kepala rumah tangga dan tulang punggung untuk menghidupi dirinya sendiri maupun keluarganya. Misalnya Posyandu Lansia sebagai wahana pelayanan bagi kaum Lansia, yang dilakukan dari, oleh dan untuk kaum usila yang menitikberatkan pada pelayanan promotif dan preventif, tanpa mengabaikan upaya kuratif dan rehabilitatif, Namun, kelompok usia lanjut sendiri kurang dapat memanfaatkan Posyandu Lansia. Permasalahan yang ada adalah semakin tua seseorang semakin turun dan berkurang daya tahan fisiknya, dan beberapa jenis penyakit tertentu akan muncul dan menyerang lansia, kondisi psikis dan mental lansia juga akan mengalami gangguan. Dukungan sosial dan dukungan psikologis pada lansia belum teridentifikasi secara optimal.\r Metode Penelitian. Pada penelitian ini rancangan yang digunakan adalah desktriptif cross sectional dengan jumlah sampel 100 lansia dengan menggunakan teknik purposive sampling. Penelitian menggunakan instrument penelitian berdasarkan WHOQOL-BREF\r Hasil Penelitian. Menunjukan bahwa dari 100 lansia 25 (25%) jenis kelamin laki-laki dan 75 (75%) perempuan. Usia responden paling banyak 66 (66%) antara 60-70 tahun,  11 (11%) responden dengan usia antara 81-90 tahun. Status pernikahan paling banyak 65 responden (65%) berstatus janda/duda dan 2 (2%) responden berstatus cerai.  Tingkat pendidikan yang apaling banyak (62%) responden adalah Sekolah Dasar (SD). Kualitas hidup lansia berdasarkan kesehatan fisik adalah berkualitas, 100 (100%) responden dilihat dari kualitas hidup lansia berdasarkan kesehatan psikologis adalah berkualitas, 100 (100%) responden dilihat dari kualitas hidup lansia  berdasarkan interaksi sosial adalah tidak berkualitas, 100 (100%) responden dil…","author":[{"dropping-particle":"","family":"Prima","given":"Dwi Ratna","non-dropping-particle":"","parse-names":false,"suffix":""},{"dropping-particle":"","family":"Safirha","given":"Azahra Afni","non-dropping-particle":"","parse-names":false,"suffix":""},{"dropping-particle":"","family":"Nuraini","given":"Siti","non-dropping-particle":"","parse-names":false,"suffix":""},{"dropping-particle":"","family":"Maghfiroh","given":"Nurul","non-dropping-particle":"","parse-names":false,"suffix":""}],"container-title":"Jurnal Kebidanan","id":"ITEM-1","issue":"1","issued":{"date-parts":[["2019"]]},"page":"1-7","title":"Pemenuhan Kebutuhan Lansia Terhadap Kualitas Hidup Lansia Di Kelurahan Grogol Jakarta Barat","type":"article-journal","volume":"8"},"uris":["http://www.mendeley.com/documents/?uuid=4b794d9e-7499-494a-8f00-2dc76f1c1644"]}],"mendeley":{"formattedCitation":"[2]","plainTextFormattedCitation":"[2]","previouslyFormattedCitation":"[2]"},"properties":{"noteIndex":0},"schema":"https://github.com/citation-style-language/schema/raw/master/csl-citation.json"}</w:instrText>
      </w:r>
      <w:r w:rsidRPr="00D63C1F">
        <w:rPr>
          <w:b/>
          <w:bCs/>
          <w:sz w:val="22"/>
          <w:szCs w:val="22"/>
        </w:rPr>
        <w:fldChar w:fldCharType="separate"/>
      </w:r>
      <w:r w:rsidRPr="00D63C1F">
        <w:rPr>
          <w:b/>
          <w:bCs/>
          <w:noProof/>
          <w:sz w:val="22"/>
          <w:szCs w:val="22"/>
        </w:rPr>
        <w:t>[2]</w:t>
      </w:r>
      <w:r w:rsidRPr="00D63C1F">
        <w:rPr>
          <w:b/>
          <w:bCs/>
          <w:sz w:val="22"/>
          <w:szCs w:val="22"/>
        </w:rPr>
        <w:fldChar w:fldCharType="end"/>
      </w:r>
      <w:r w:rsidRPr="00D63C1F">
        <w:rPr>
          <w:sz w:val="22"/>
          <w:szCs w:val="22"/>
        </w:rPr>
        <w:t>.</w:t>
      </w:r>
    </w:p>
    <w:p w14:paraId="50A167B4" w14:textId="5749A8B5" w:rsidR="00D63C1F" w:rsidRPr="00D63C1F" w:rsidRDefault="00D63C1F" w:rsidP="006A7980">
      <w:pPr>
        <w:pStyle w:val="IEEEParagraph"/>
        <w:ind w:firstLine="289"/>
        <w:contextualSpacing/>
        <w:rPr>
          <w:sz w:val="22"/>
          <w:szCs w:val="22"/>
        </w:rPr>
      </w:pPr>
      <w:r w:rsidRPr="00D63C1F">
        <w:rPr>
          <w:sz w:val="22"/>
          <w:szCs w:val="22"/>
        </w:rPr>
        <w:t xml:space="preserve">Problems in stroke patients not only cause death but also stroke is the main cause of disability which results in decreased motor skills and causes </w:t>
      </w:r>
      <w:r w:rsidRPr="00D63C1F">
        <w:rPr>
          <w:sz w:val="22"/>
          <w:szCs w:val="22"/>
        </w:rPr>
        <w:t>stroke patients to experience limitations in moving their bodies so that stroke patients have difficulty in carrying out activity daily living (ADL). One of them is limitations in oral hygiene care. With the limitations possessed by stroke patients, they become dependent on the family so that in performing oral hygiene care requires assistance from the family on an ongoing basis so that gradually stroke patients can still perform oral hygiene care.</w:t>
      </w:r>
    </w:p>
    <w:p w14:paraId="6A162B63" w14:textId="6CB0BFAD" w:rsidR="00422CA6" w:rsidRPr="00422CA6" w:rsidRDefault="00422CA6" w:rsidP="006A7980">
      <w:pPr>
        <w:pStyle w:val="IEEEParagraph"/>
        <w:ind w:firstLine="289"/>
        <w:contextualSpacing/>
        <w:rPr>
          <w:sz w:val="22"/>
          <w:szCs w:val="22"/>
        </w:rPr>
      </w:pPr>
      <w:r w:rsidRPr="00422CA6">
        <w:rPr>
          <w:sz w:val="22"/>
          <w:szCs w:val="22"/>
        </w:rPr>
        <w:lastRenderedPageBreak/>
        <w:t xml:space="preserve">The results of the Basic Health Research (2018) stated that the Indonesian population with oral problems aged 55-64 years was 61.9% and aged &gt;65 years was 54.2%. In Central Java province there are 56.7% of the population who experience dental and oral problems. Dental problems that often occur in Indonesia are cavities, missing or extracted teeth, filled teeth, and loose teeth </w:t>
      </w:r>
      <w:r w:rsidRPr="00422CA6">
        <w:rPr>
          <w:b/>
          <w:bCs/>
          <w:sz w:val="22"/>
          <w:szCs w:val="22"/>
        </w:rPr>
        <w:fldChar w:fldCharType="begin" w:fldLock="1"/>
      </w:r>
      <w:r w:rsidRPr="00422CA6">
        <w:rPr>
          <w:b/>
          <w:bCs/>
          <w:sz w:val="22"/>
          <w:szCs w:val="22"/>
        </w:rPr>
        <w:instrText>ADDIN CSL_CITATION {"citationItems":[{"id":"ITEM-1","itemData":{"author":[{"dropping-particle":"","family":"Satuti","given":"Nindita Enhar","non-dropping-particle":"","parse-names":false,"suffix":""},{"dropping-particle":"","family":"Aidannahar","given":"Laila","non-dropping-particle":"","parse-names":false,"suffix":""},{"dropping-particle":"","family":"Jumiati","given":"","non-dropping-particle":"","parse-names":false,"suffix":""},{"dropping-particle":"","family":"Sukini","given":"","non-dropping-particle":"","parse-names":false,"suffix":""},{"dropping-particle":"","family":"Chibtiyah","given":"Nur","non-dropping-particle":"","parse-names":false,"suffix":""}],"container-title":"Jurnal Pengabdian Masyarakat Kesehatan Gigi","id":"ITEM-1","issue":"April","issued":{"date-parts":[["2023"]]},"page":"14-16","title":"Promosi Kesehatan Gigi dan Mulut Lansia Melalui Aplikasi Asuhan Kesehatan Gigi dan Mulut","type":"article-journal","volume":"1"},"uris":["http://www.mendeley.com/documents/?uuid=a7f8a5f0-a275-4b6b-a0f5-a587a1ff8c28"]}],"mendeley":{"formattedCitation":"[3]","plainTextFormattedCitation":"[3]","previouslyFormattedCitation":"[3]"},"properties":{"noteIndex":0},"schema":"https://github.com/citation-style-language/schema/raw/master/csl-citation.json"}</w:instrText>
      </w:r>
      <w:r w:rsidRPr="00422CA6">
        <w:rPr>
          <w:b/>
          <w:bCs/>
          <w:sz w:val="22"/>
          <w:szCs w:val="22"/>
        </w:rPr>
        <w:fldChar w:fldCharType="separate"/>
      </w:r>
      <w:r w:rsidRPr="00422CA6">
        <w:rPr>
          <w:b/>
          <w:bCs/>
          <w:noProof/>
          <w:sz w:val="22"/>
          <w:szCs w:val="22"/>
        </w:rPr>
        <w:t>[3]</w:t>
      </w:r>
      <w:r w:rsidRPr="00422CA6">
        <w:rPr>
          <w:b/>
          <w:bCs/>
          <w:sz w:val="22"/>
          <w:szCs w:val="22"/>
        </w:rPr>
        <w:fldChar w:fldCharType="end"/>
      </w:r>
      <w:r w:rsidRPr="00422CA6">
        <w:rPr>
          <w:sz w:val="22"/>
          <w:szCs w:val="22"/>
        </w:rPr>
        <w:t xml:space="preserve">. The age group 55-64 years who experienced cavities amounted to 48.5%, missing or extracted teeth amounted to 29%, patched teeth amounted to 4.2%, and unsteady teeth amounted to 15.9%, and age &gt;65 years who experienced cavities amounted to 38.6%, missing or extracted teeth amounted to 30.6%, patched teeth amounted to 3.1%, and unsteady teeth amounted to 15.5% </w:t>
      </w:r>
      <w:r w:rsidRPr="00422CA6">
        <w:rPr>
          <w:b/>
          <w:bCs/>
          <w:sz w:val="22"/>
          <w:szCs w:val="22"/>
        </w:rPr>
        <w:fldChar w:fldCharType="begin" w:fldLock="1"/>
      </w:r>
      <w:r w:rsidRPr="00422CA6">
        <w:rPr>
          <w:b/>
          <w:bCs/>
          <w:sz w:val="22"/>
          <w:szCs w:val="22"/>
        </w:rPr>
        <w:instrText>ADDIN CSL_CITATION {"citationItems":[{"id":"ITEM-1","itemData":{"DOI":"10.26714/jsm.3.2.2021.86-94","ISSN":"2623-0364","abstract":"Lansia adalah setiap orang yang berusia 60 tahun atau lebih, yang secara fisik terlihat berbeda dengan kelompok usia lainnya. Pengetahuan merupakan faktor yang membentuk perilaku seseorang. Perilaku seseorang memiliki peranan penting dalam menetukan kesehatan gigi mulut. Salah satu kondisi yang sering terjadi pada rongga mulut lansia yaitu kehilangan gigi yang disebabkan oleh karies gigi. Hasil Riset Kesehatan Dasar (RISKESDAS 2018) menyatakan penduduk Indonesia yang memiliki masalah gigi dan mulut dengan proporsi usia 55-64 tahun sebanyak 61,9% dan usia &gt;65 tahun sebanyak 54,2%. Untuk mengetahui gambaran pengetahuan kesehatan gigi mulut, perilaku kesehatan gigi mulut, dan status gigi pada lansia di Panti Wreda Surakarta. Jenis Penelitian ini adalah deskriptif observasional dengan cross sectional design. Teknik pengambilan sampel menggunakan total sampling yang sesuai dengan kriteria inklusi dan eksklusi. Sampel yang digunakan sebanyak 55 orang. Analisis data dilakukan menggunakan metode deskriptif survey. Berdasarkan data yang diperoleh menunjukan bahwa dari keseluruhan lansia di Panti Wreda Surakarta yang berjumlah 55 orang memiliki tingkat pengetahuan dengan kategori sedang sebanyak 30 orang (54,6%) dan perilaku kesehatan gigi mulut dengan kategori sedang sebanyak 40 orang (72,7%). Status gigi geligi lansia menunjukan bahwa lansia yang mengalami karies gigi sebanyak 41 orang (74,6%), gigi yang dicabut atau hilang sebanyak 53 orang (96,4%), gigi yang di tambal sebanyak 6 orang (10,9%), dan gigi yang goyah sebanyak 4 orang (7,3%). Penelitian ini menunjukan bahwa tingkat pengetahuan kesehatan gigi mulut lansia dan perilaku kesehatan gigi mulut lansia yang tinggal di Panti Wreda Surakarta termasuk dalam kategori sedang. Status gigi geligi lansia menunjukan bahwa sebagian besar lansia sudah kehilangan banyak gigi-giginya yang disebabkan karena karies gigi dan sisa akar pada gigi.","author":[{"dropping-particle":"","family":"Sari","given":"Morita","non-dropping-particle":"","parse-names":false,"suffix":""},{"dropping-particle":"","family":"Jannah","given":"Nur Fatihah","non-dropping-particle":"","parse-names":false,"suffix":""}],"container-title":"Jurnal Surya Masyarakat","id":"ITEM-1","issue":"2","issued":{"date-parts":[["2021"]]},"page":"86","title":"Gambaran Pengetahuan Kesehatan Gigi Mulut, Perilaku Kesehatan Gigi Mulut, dan Status Gigi Lansia di Panti Wreda Surakarta","type":"article-journal","volume":"3"},"uris":["http://www.mendeley.com/documents/?uuid=245d7ab9-d8ed-4be0-bff3-6e8e93ebe40e"]}],"mendeley":{"formattedCitation":"[4]","plainTextFormattedCitation":"[4]","previouslyFormattedCitation":"[4]"},"properties":{"noteIndex":0},"schema":"https://github.com/citation-style-language/schema/raw/master/csl-citation.json"}</w:instrText>
      </w:r>
      <w:r w:rsidRPr="00422CA6">
        <w:rPr>
          <w:b/>
          <w:bCs/>
          <w:sz w:val="22"/>
          <w:szCs w:val="22"/>
        </w:rPr>
        <w:fldChar w:fldCharType="separate"/>
      </w:r>
      <w:r w:rsidRPr="00422CA6">
        <w:rPr>
          <w:b/>
          <w:bCs/>
          <w:noProof/>
          <w:sz w:val="22"/>
          <w:szCs w:val="22"/>
        </w:rPr>
        <w:t>[4]</w:t>
      </w:r>
      <w:r w:rsidRPr="00422CA6">
        <w:rPr>
          <w:b/>
          <w:bCs/>
          <w:sz w:val="22"/>
          <w:szCs w:val="22"/>
        </w:rPr>
        <w:fldChar w:fldCharType="end"/>
      </w:r>
      <w:r w:rsidRPr="00422CA6">
        <w:rPr>
          <w:sz w:val="22"/>
          <w:szCs w:val="22"/>
        </w:rPr>
        <w:t>.</w:t>
      </w:r>
    </w:p>
    <w:p w14:paraId="6DD9BAFC" w14:textId="071AC477" w:rsidR="004C4DE3" w:rsidRPr="004C4DE3" w:rsidRDefault="004C4DE3" w:rsidP="006A7980">
      <w:pPr>
        <w:pStyle w:val="IEEEParagraph"/>
        <w:ind w:firstLine="289"/>
        <w:contextualSpacing/>
        <w:rPr>
          <w:sz w:val="22"/>
          <w:szCs w:val="22"/>
        </w:rPr>
      </w:pPr>
      <w:r w:rsidRPr="004C4DE3">
        <w:rPr>
          <w:sz w:val="22"/>
          <w:szCs w:val="22"/>
        </w:rPr>
        <w:t xml:space="preserve">The enhancement of knowledge can be achieved through counseling, where counseling activities involve a two-way communication process between the communicator (counselor) and the communicant within an interaction. To achieve the goal of increasing knowledge and changing behavior, it is essential to choose an appropriate counseling method </w:t>
      </w:r>
      <w:r w:rsidRPr="004C4DE3">
        <w:rPr>
          <w:b/>
          <w:bCs/>
          <w:sz w:val="22"/>
          <w:szCs w:val="22"/>
        </w:rPr>
        <w:fldChar w:fldCharType="begin" w:fldLock="1"/>
      </w:r>
      <w:r w:rsidRPr="004C4DE3">
        <w:rPr>
          <w:b/>
          <w:bCs/>
          <w:sz w:val="22"/>
          <w:szCs w:val="22"/>
        </w:rPr>
        <w:instrText>ADDIN CSL_CITATION {"citationItems":[{"id":"ITEM-1","itemData":{"author":[{"dropping-particle":"","family":"Prayogo","given":"Dimas Imam","non-dropping-particle":"","parse-names":false,"suffix":""},{"dropping-particle":"","family":"Widyasari","given":"Arifia","non-dropping-particle":"","parse-names":false,"suffix":""},{"dropping-particle":"","family":"Azizah","given":"Nurul","non-dropping-particle":"","parse-names":false,"suffix":""},{"dropping-particle":"","family":"Munaya","given":"Fauziah","non-dropping-particle":"","parse-names":false,"suffix":""}],"container-title":"Seminar Nasional Pengabdian Masyarakat LP UMJ","id":"ITEM-1","issued":{"date-parts":[["2022"]]},"page":"1-7","title":"Penyuluhan Kesehatan tentang Perilaku Hidup Bersih","type":"article-journal"},"uris":["http://www.mendeley.com/documents/?uuid=ba023c86-11b5-4633-9102-1c4f769e2222"]}],"mendeley":{"formattedCitation":"[5]","plainTextFormattedCitation":"[5]","previouslyFormattedCitation":"[5]"},"properties":{"noteIndex":0},"schema":"https://github.com/citation-style-language/schema/raw/master/csl-citation.json"}</w:instrText>
      </w:r>
      <w:r w:rsidRPr="004C4DE3">
        <w:rPr>
          <w:b/>
          <w:bCs/>
          <w:sz w:val="22"/>
          <w:szCs w:val="22"/>
        </w:rPr>
        <w:fldChar w:fldCharType="separate"/>
      </w:r>
      <w:r w:rsidRPr="004C4DE3">
        <w:rPr>
          <w:b/>
          <w:bCs/>
          <w:noProof/>
          <w:sz w:val="22"/>
          <w:szCs w:val="22"/>
        </w:rPr>
        <w:t>[5]</w:t>
      </w:r>
      <w:r w:rsidRPr="004C4DE3">
        <w:rPr>
          <w:b/>
          <w:bCs/>
          <w:sz w:val="22"/>
          <w:szCs w:val="22"/>
        </w:rPr>
        <w:fldChar w:fldCharType="end"/>
      </w:r>
      <w:r>
        <w:rPr>
          <w:b/>
          <w:bCs/>
          <w:sz w:val="22"/>
          <w:szCs w:val="22"/>
        </w:rPr>
        <w:t>.</w:t>
      </w:r>
    </w:p>
    <w:p w14:paraId="6BCE7A54" w14:textId="134EB0B5" w:rsidR="00A617D6" w:rsidRPr="00A617D6" w:rsidRDefault="00A617D6" w:rsidP="006A7980">
      <w:pPr>
        <w:pStyle w:val="IEEEParagraph"/>
        <w:ind w:firstLine="288"/>
        <w:contextualSpacing/>
        <w:rPr>
          <w:sz w:val="22"/>
          <w:szCs w:val="22"/>
        </w:rPr>
      </w:pPr>
      <w:r w:rsidRPr="00A617D6">
        <w:rPr>
          <w:sz w:val="22"/>
          <w:szCs w:val="22"/>
        </w:rPr>
        <w:t>An effort is needed to address the existing problem, namely improving knowledge about dental and oral health maintenance, which can be achieved through dental and oral health education with the help of an assistant. Dental and oral health education is a planned and directed effort to create an environment where individuals or groups in the community are willing to change old behaviors that are less beneficial for their dental health into more beneficial ones. The goal of dental and oral health education is to bring about behavioral changes, including knowledge, attitudes, and actions that promote a healthy lifestyle.</w:t>
      </w:r>
    </w:p>
    <w:p w14:paraId="1019423E" w14:textId="7F3D3EB4" w:rsidR="006A7980" w:rsidRPr="005F1DC5" w:rsidRDefault="00630C86" w:rsidP="005F1DC5">
      <w:pPr>
        <w:pStyle w:val="IEEEParagraph"/>
        <w:ind w:firstLine="288"/>
        <w:contextualSpacing/>
        <w:rPr>
          <w:sz w:val="22"/>
          <w:szCs w:val="22"/>
        </w:rPr>
      </w:pPr>
      <w:r w:rsidRPr="00630C86">
        <w:rPr>
          <w:sz w:val="22"/>
          <w:szCs w:val="22"/>
        </w:rPr>
        <w:t>It is hoped that after providing dental and oral health education through an innovative program in the form of a companion link for elderly stroke patients, known as "LIPSIAS," the knowledge of elderly stroke patients on how to maintain their dental and oral health will improve, thereby positively impacting their dental hygiene.</w:t>
      </w:r>
    </w:p>
    <w:p w14:paraId="26E6E749" w14:textId="77777777" w:rsidR="00C55690" w:rsidRPr="006A7980" w:rsidRDefault="00C55690" w:rsidP="00096DD2">
      <w:pPr>
        <w:pStyle w:val="ListParagraph"/>
        <w:tabs>
          <w:tab w:val="left" w:pos="3969"/>
          <w:tab w:val="left" w:pos="4253"/>
        </w:tabs>
        <w:spacing w:after="0" w:line="240" w:lineRule="auto"/>
        <w:ind w:left="0" w:firstLine="284"/>
        <w:jc w:val="both"/>
        <w:rPr>
          <w:rFonts w:ascii="Times New Roman" w:hAnsi="Times New Roman"/>
          <w:lang w:val="en-US"/>
        </w:rPr>
      </w:pPr>
    </w:p>
    <w:p w14:paraId="26E6E74C" w14:textId="460DAC51" w:rsidR="00096DD2" w:rsidRDefault="00C55690" w:rsidP="005F1DC5">
      <w:pPr>
        <w:tabs>
          <w:tab w:val="left" w:pos="1440"/>
        </w:tabs>
        <w:spacing w:after="0" w:line="240" w:lineRule="auto"/>
        <w:jc w:val="center"/>
        <w:rPr>
          <w:rFonts w:ascii="Times New Roman" w:hAnsi="Times New Roman"/>
          <w:b/>
        </w:rPr>
      </w:pPr>
      <w:r w:rsidRPr="00096DD2">
        <w:rPr>
          <w:rFonts w:ascii="Times New Roman" w:hAnsi="Times New Roman"/>
          <w:b/>
        </w:rPr>
        <w:t>Methods</w:t>
      </w:r>
    </w:p>
    <w:p w14:paraId="15986B2E" w14:textId="77777777" w:rsidR="005F1DC5" w:rsidRPr="005F1DC5" w:rsidRDefault="005F1DC5" w:rsidP="005F1DC5">
      <w:pPr>
        <w:tabs>
          <w:tab w:val="left" w:pos="1440"/>
        </w:tabs>
        <w:spacing w:after="0" w:line="240" w:lineRule="auto"/>
        <w:jc w:val="center"/>
        <w:rPr>
          <w:rFonts w:ascii="Times New Roman" w:hAnsi="Times New Roman"/>
          <w:b/>
        </w:rPr>
      </w:pPr>
    </w:p>
    <w:p w14:paraId="2B839918" w14:textId="55EEBD0F" w:rsidR="00E35DC2" w:rsidRPr="00E35DC2" w:rsidRDefault="00E35DC2" w:rsidP="00374387">
      <w:pPr>
        <w:spacing w:line="240" w:lineRule="auto"/>
        <w:ind w:firstLine="289"/>
        <w:jc w:val="both"/>
        <w:rPr>
          <w:rFonts w:ascii="Times New Roman" w:eastAsia="MS Mincho" w:hAnsi="Times New Roman" w:cs="Times New Roman"/>
        </w:rPr>
      </w:pPr>
      <w:r w:rsidRPr="00E35DC2">
        <w:rPr>
          <w:rFonts w:ascii="Times New Roman" w:eastAsia="MS Mincho" w:hAnsi="Times New Roman" w:cs="Times New Roman"/>
        </w:rPr>
        <w:t>The method used in this study is a quantitative approach with a pre-experimental research design (one-group pretest and posttest design). The sampling technique is purposive sampling, consisting of 14 elderly stroke patients at the Social Service Center.</w:t>
      </w:r>
    </w:p>
    <w:p w14:paraId="26E6E74E" w14:textId="77777777" w:rsidR="00507213" w:rsidRDefault="00507213" w:rsidP="00096DD2">
      <w:pPr>
        <w:pStyle w:val="ListParagraph"/>
        <w:tabs>
          <w:tab w:val="left" w:pos="3969"/>
          <w:tab w:val="left" w:pos="4253"/>
        </w:tabs>
        <w:spacing w:after="0" w:line="240" w:lineRule="auto"/>
        <w:ind w:left="0" w:firstLine="284"/>
        <w:jc w:val="both"/>
        <w:rPr>
          <w:rFonts w:ascii="Times New Roman" w:hAnsi="Times New Roman"/>
          <w:lang w:val="en-US"/>
        </w:rPr>
      </w:pPr>
    </w:p>
    <w:p w14:paraId="26E6E750" w14:textId="2A799F9D" w:rsidR="00096DD2" w:rsidRPr="00EC5BFA" w:rsidRDefault="00507213" w:rsidP="00EC5BFA">
      <w:pPr>
        <w:tabs>
          <w:tab w:val="left" w:pos="1440"/>
        </w:tabs>
        <w:spacing w:after="0" w:line="240" w:lineRule="auto"/>
        <w:jc w:val="center"/>
        <w:rPr>
          <w:rFonts w:ascii="Times New Roman" w:hAnsi="Times New Roman"/>
          <w:b/>
        </w:rPr>
      </w:pPr>
      <w:r w:rsidRPr="0023719E">
        <w:rPr>
          <w:rFonts w:ascii="Times New Roman" w:hAnsi="Times New Roman"/>
          <w:b/>
        </w:rPr>
        <w:t>Results</w:t>
      </w:r>
    </w:p>
    <w:p w14:paraId="26E6E751" w14:textId="77777777" w:rsidR="00096DD2" w:rsidRPr="00096DD2" w:rsidRDefault="00096DD2" w:rsidP="00096DD2">
      <w:pPr>
        <w:tabs>
          <w:tab w:val="left" w:pos="1440"/>
        </w:tabs>
        <w:spacing w:after="0" w:line="240" w:lineRule="auto"/>
        <w:jc w:val="center"/>
        <w:rPr>
          <w:rFonts w:ascii="Times New Roman" w:hAnsi="Times New Roman"/>
          <w:b/>
          <w:i/>
          <w:lang w:val="id-ID"/>
        </w:rPr>
      </w:pPr>
    </w:p>
    <w:p w14:paraId="375B5390" w14:textId="0E8EE452" w:rsidR="00374387" w:rsidRPr="00374387" w:rsidRDefault="00EC5BFA" w:rsidP="005532D1">
      <w:pPr>
        <w:pStyle w:val="IEEEParagraph"/>
        <w:rPr>
          <w:sz w:val="22"/>
          <w:szCs w:val="22"/>
        </w:rPr>
      </w:pPr>
      <w:r w:rsidRPr="00EC5BFA">
        <w:rPr>
          <w:sz w:val="22"/>
          <w:szCs w:val="22"/>
        </w:rPr>
        <w:t>The study conducted at the Potroyudan Elderly Social Service Center from October 23 to 30, 2023, used the LIPSIAS “Elderly Stroke Companion Link” website-based application as an aid to provide dental and oral health education to elderly stroke patients. During the implementation, the following data were obtained:</w:t>
      </w:r>
    </w:p>
    <w:p w14:paraId="45A18651" w14:textId="001F5D69" w:rsidR="00374387" w:rsidRPr="005532D1" w:rsidRDefault="006D16D8" w:rsidP="006D16D8">
      <w:pPr>
        <w:pStyle w:val="ListParagraph"/>
        <w:numPr>
          <w:ilvl w:val="0"/>
          <w:numId w:val="6"/>
        </w:numPr>
        <w:rPr>
          <w:rFonts w:ascii="Times New Roman" w:eastAsia="SimSun" w:hAnsi="Times New Roman"/>
          <w:i/>
          <w:iCs/>
          <w:lang w:val="en-AU" w:eastAsia="zh-CN"/>
        </w:rPr>
      </w:pPr>
      <w:r w:rsidRPr="005532D1">
        <w:rPr>
          <w:rFonts w:ascii="Times New Roman" w:eastAsia="SimSun" w:hAnsi="Times New Roman"/>
          <w:i/>
          <w:iCs/>
          <w:lang w:val="en-AU" w:eastAsia="zh-CN"/>
        </w:rPr>
        <w:t>Univariate Analysis</w:t>
      </w:r>
    </w:p>
    <w:p w14:paraId="60AAA472" w14:textId="7E693886" w:rsidR="00374387" w:rsidRPr="00374387" w:rsidRDefault="00374387" w:rsidP="006D16D8">
      <w:pPr>
        <w:pStyle w:val="Caption"/>
        <w:jc w:val="center"/>
        <w:rPr>
          <w:sz w:val="22"/>
          <w:szCs w:val="22"/>
        </w:rPr>
      </w:pPr>
      <w:r w:rsidRPr="00374387">
        <w:rPr>
          <w:sz w:val="22"/>
          <w:szCs w:val="22"/>
        </w:rPr>
        <w:t xml:space="preserve">Tabel </w:t>
      </w:r>
      <w:r w:rsidRPr="00374387">
        <w:rPr>
          <w:sz w:val="22"/>
          <w:szCs w:val="22"/>
        </w:rPr>
        <w:fldChar w:fldCharType="begin"/>
      </w:r>
      <w:r w:rsidRPr="00374387">
        <w:rPr>
          <w:sz w:val="22"/>
          <w:szCs w:val="22"/>
        </w:rPr>
        <w:instrText xml:space="preserve"> SEQ Tabel \* ARABIC </w:instrText>
      </w:r>
      <w:r w:rsidRPr="00374387">
        <w:rPr>
          <w:sz w:val="22"/>
          <w:szCs w:val="22"/>
        </w:rPr>
        <w:fldChar w:fldCharType="separate"/>
      </w:r>
      <w:r w:rsidRPr="00374387">
        <w:rPr>
          <w:noProof/>
          <w:sz w:val="22"/>
          <w:szCs w:val="22"/>
        </w:rPr>
        <w:t>1</w:t>
      </w:r>
      <w:r w:rsidRPr="00374387">
        <w:rPr>
          <w:sz w:val="22"/>
          <w:szCs w:val="22"/>
        </w:rPr>
        <w:fldChar w:fldCharType="end"/>
      </w:r>
      <w:r w:rsidRPr="00374387">
        <w:rPr>
          <w:sz w:val="22"/>
          <w:szCs w:val="22"/>
        </w:rPr>
        <w:t xml:space="preserve"> </w:t>
      </w:r>
      <w:r w:rsidR="00F12622" w:rsidRPr="00F24D6C">
        <w:rPr>
          <w:color w:val="000000"/>
        </w:rPr>
        <w:t>Data on the characteristics of elderly stroke</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701"/>
        <w:gridCol w:w="1453"/>
        <w:gridCol w:w="797"/>
        <w:gridCol w:w="693"/>
      </w:tblGrid>
      <w:tr w:rsidR="00374387" w:rsidRPr="00374387" w14:paraId="45E5EEA3" w14:textId="77777777" w:rsidTr="009F10EA">
        <w:tc>
          <w:tcPr>
            <w:tcW w:w="3395" w:type="dxa"/>
            <w:gridSpan w:val="2"/>
            <w:shd w:val="clear" w:color="auto" w:fill="E7E6E6"/>
          </w:tcPr>
          <w:p w14:paraId="0D738D26" w14:textId="7BC0CD38" w:rsidR="00374387" w:rsidRPr="00374387" w:rsidRDefault="00374387" w:rsidP="00374387">
            <w:pPr>
              <w:pStyle w:val="IEEEParagraph"/>
              <w:ind w:firstLine="0"/>
              <w:jc w:val="center"/>
              <w:rPr>
                <w:b/>
                <w:bCs/>
                <w:sz w:val="22"/>
                <w:szCs w:val="22"/>
              </w:rPr>
            </w:pPr>
            <w:r w:rsidRPr="00374387">
              <w:rPr>
                <w:b/>
                <w:bCs/>
                <w:sz w:val="22"/>
                <w:szCs w:val="22"/>
              </w:rPr>
              <w:t>Variab</w:t>
            </w:r>
            <w:r w:rsidR="002919C3">
              <w:rPr>
                <w:b/>
                <w:bCs/>
                <w:sz w:val="22"/>
                <w:szCs w:val="22"/>
              </w:rPr>
              <w:t>le</w:t>
            </w:r>
          </w:p>
        </w:tc>
        <w:tc>
          <w:tcPr>
            <w:tcW w:w="858" w:type="dxa"/>
            <w:shd w:val="clear" w:color="auto" w:fill="E7E6E6"/>
          </w:tcPr>
          <w:p w14:paraId="24FA9537" w14:textId="77777777" w:rsidR="00374387" w:rsidRPr="00374387" w:rsidRDefault="00374387" w:rsidP="00374387">
            <w:pPr>
              <w:pStyle w:val="IEEEParagraph"/>
              <w:ind w:firstLine="0"/>
              <w:jc w:val="center"/>
              <w:rPr>
                <w:b/>
                <w:bCs/>
                <w:sz w:val="22"/>
                <w:szCs w:val="22"/>
              </w:rPr>
            </w:pPr>
            <w:r w:rsidRPr="00374387">
              <w:rPr>
                <w:b/>
                <w:bCs/>
                <w:sz w:val="22"/>
                <w:szCs w:val="22"/>
              </w:rPr>
              <w:t>N</w:t>
            </w:r>
          </w:p>
        </w:tc>
        <w:tc>
          <w:tcPr>
            <w:tcW w:w="708" w:type="dxa"/>
            <w:shd w:val="clear" w:color="auto" w:fill="E7E6E6"/>
          </w:tcPr>
          <w:p w14:paraId="3C3B317A" w14:textId="77777777" w:rsidR="00374387" w:rsidRPr="00374387" w:rsidRDefault="00374387" w:rsidP="00374387">
            <w:pPr>
              <w:pStyle w:val="IEEEParagraph"/>
              <w:ind w:firstLine="0"/>
              <w:jc w:val="center"/>
              <w:rPr>
                <w:b/>
                <w:bCs/>
                <w:sz w:val="22"/>
                <w:szCs w:val="22"/>
              </w:rPr>
            </w:pPr>
            <w:r w:rsidRPr="00374387">
              <w:rPr>
                <w:b/>
                <w:bCs/>
                <w:sz w:val="22"/>
                <w:szCs w:val="22"/>
              </w:rPr>
              <w:t>%</w:t>
            </w:r>
          </w:p>
        </w:tc>
      </w:tr>
      <w:tr w:rsidR="00374387" w:rsidRPr="00374387" w14:paraId="6AEEA59D" w14:textId="77777777" w:rsidTr="009F10EA">
        <w:tc>
          <w:tcPr>
            <w:tcW w:w="1843" w:type="dxa"/>
            <w:shd w:val="clear" w:color="auto" w:fill="auto"/>
          </w:tcPr>
          <w:p w14:paraId="2100AA79" w14:textId="0E5E5D13" w:rsidR="00374387" w:rsidRPr="00374387" w:rsidRDefault="002919C3" w:rsidP="002919C3">
            <w:pPr>
              <w:pStyle w:val="IEEEParagraph"/>
              <w:ind w:firstLine="0"/>
              <w:jc w:val="center"/>
              <w:rPr>
                <w:sz w:val="22"/>
                <w:szCs w:val="22"/>
              </w:rPr>
            </w:pPr>
            <w:r>
              <w:rPr>
                <w:sz w:val="22"/>
                <w:szCs w:val="22"/>
              </w:rPr>
              <w:t>Gender</w:t>
            </w:r>
          </w:p>
        </w:tc>
        <w:tc>
          <w:tcPr>
            <w:tcW w:w="1552" w:type="dxa"/>
            <w:shd w:val="clear" w:color="auto" w:fill="auto"/>
          </w:tcPr>
          <w:p w14:paraId="3198B3D5" w14:textId="0D6F06AA" w:rsidR="00374387" w:rsidRPr="00374387" w:rsidRDefault="002919C3" w:rsidP="00374387">
            <w:pPr>
              <w:pStyle w:val="IEEEParagraph"/>
              <w:ind w:firstLine="0"/>
              <w:rPr>
                <w:sz w:val="22"/>
                <w:szCs w:val="22"/>
              </w:rPr>
            </w:pPr>
            <w:r>
              <w:rPr>
                <w:sz w:val="22"/>
                <w:szCs w:val="22"/>
              </w:rPr>
              <w:t>Male</w:t>
            </w:r>
          </w:p>
        </w:tc>
        <w:tc>
          <w:tcPr>
            <w:tcW w:w="858" w:type="dxa"/>
            <w:shd w:val="clear" w:color="auto" w:fill="auto"/>
          </w:tcPr>
          <w:p w14:paraId="4A37BDFB" w14:textId="77777777" w:rsidR="00374387" w:rsidRPr="00374387" w:rsidRDefault="00374387" w:rsidP="00374387">
            <w:pPr>
              <w:pStyle w:val="IEEEParagraph"/>
              <w:ind w:firstLine="0"/>
              <w:jc w:val="center"/>
              <w:rPr>
                <w:sz w:val="22"/>
                <w:szCs w:val="22"/>
              </w:rPr>
            </w:pPr>
            <w:r w:rsidRPr="00374387">
              <w:rPr>
                <w:sz w:val="22"/>
                <w:szCs w:val="22"/>
              </w:rPr>
              <w:t>8</w:t>
            </w:r>
          </w:p>
        </w:tc>
        <w:tc>
          <w:tcPr>
            <w:tcW w:w="708" w:type="dxa"/>
            <w:shd w:val="clear" w:color="auto" w:fill="auto"/>
          </w:tcPr>
          <w:p w14:paraId="57802A96" w14:textId="77777777" w:rsidR="00374387" w:rsidRPr="00374387" w:rsidRDefault="00374387" w:rsidP="00374387">
            <w:pPr>
              <w:pStyle w:val="IEEEParagraph"/>
              <w:ind w:firstLine="0"/>
              <w:jc w:val="center"/>
              <w:rPr>
                <w:sz w:val="22"/>
                <w:szCs w:val="22"/>
              </w:rPr>
            </w:pPr>
            <w:r w:rsidRPr="00374387">
              <w:rPr>
                <w:sz w:val="22"/>
                <w:szCs w:val="22"/>
              </w:rPr>
              <w:t>57,1</w:t>
            </w:r>
          </w:p>
        </w:tc>
      </w:tr>
      <w:tr w:rsidR="00374387" w:rsidRPr="00374387" w14:paraId="0D7F7F05" w14:textId="77777777" w:rsidTr="009F10EA">
        <w:tc>
          <w:tcPr>
            <w:tcW w:w="1843" w:type="dxa"/>
            <w:shd w:val="clear" w:color="auto" w:fill="auto"/>
          </w:tcPr>
          <w:p w14:paraId="6054722B" w14:textId="77777777" w:rsidR="00374387" w:rsidRPr="00374387" w:rsidRDefault="00374387" w:rsidP="00374387">
            <w:pPr>
              <w:pStyle w:val="IEEEParagraph"/>
              <w:ind w:firstLine="0"/>
              <w:rPr>
                <w:sz w:val="22"/>
                <w:szCs w:val="22"/>
              </w:rPr>
            </w:pPr>
          </w:p>
        </w:tc>
        <w:tc>
          <w:tcPr>
            <w:tcW w:w="1552" w:type="dxa"/>
            <w:shd w:val="clear" w:color="auto" w:fill="auto"/>
          </w:tcPr>
          <w:p w14:paraId="22ACB876" w14:textId="042FB578" w:rsidR="00374387" w:rsidRPr="00374387" w:rsidRDefault="002919C3" w:rsidP="00374387">
            <w:pPr>
              <w:pStyle w:val="IEEEParagraph"/>
              <w:ind w:firstLine="0"/>
              <w:rPr>
                <w:sz w:val="22"/>
                <w:szCs w:val="22"/>
              </w:rPr>
            </w:pPr>
            <w:r>
              <w:rPr>
                <w:sz w:val="22"/>
                <w:szCs w:val="22"/>
              </w:rPr>
              <w:t>Female</w:t>
            </w:r>
          </w:p>
        </w:tc>
        <w:tc>
          <w:tcPr>
            <w:tcW w:w="858" w:type="dxa"/>
            <w:shd w:val="clear" w:color="auto" w:fill="auto"/>
          </w:tcPr>
          <w:p w14:paraId="572D3C5D" w14:textId="77777777" w:rsidR="00374387" w:rsidRPr="00374387" w:rsidRDefault="00374387" w:rsidP="00374387">
            <w:pPr>
              <w:pStyle w:val="IEEEParagraph"/>
              <w:ind w:firstLine="0"/>
              <w:jc w:val="center"/>
              <w:rPr>
                <w:sz w:val="22"/>
                <w:szCs w:val="22"/>
              </w:rPr>
            </w:pPr>
            <w:r w:rsidRPr="00374387">
              <w:rPr>
                <w:sz w:val="22"/>
                <w:szCs w:val="22"/>
              </w:rPr>
              <w:t>6</w:t>
            </w:r>
          </w:p>
        </w:tc>
        <w:tc>
          <w:tcPr>
            <w:tcW w:w="708" w:type="dxa"/>
            <w:shd w:val="clear" w:color="auto" w:fill="auto"/>
          </w:tcPr>
          <w:p w14:paraId="7D71B025" w14:textId="77777777" w:rsidR="00374387" w:rsidRPr="00374387" w:rsidRDefault="00374387" w:rsidP="00374387">
            <w:pPr>
              <w:pStyle w:val="IEEEParagraph"/>
              <w:ind w:firstLine="0"/>
              <w:jc w:val="center"/>
              <w:rPr>
                <w:sz w:val="22"/>
                <w:szCs w:val="22"/>
              </w:rPr>
            </w:pPr>
            <w:r w:rsidRPr="00374387">
              <w:rPr>
                <w:sz w:val="22"/>
                <w:szCs w:val="22"/>
              </w:rPr>
              <w:t>42,9</w:t>
            </w:r>
          </w:p>
        </w:tc>
      </w:tr>
      <w:tr w:rsidR="00374387" w:rsidRPr="00374387" w14:paraId="00DB2F7C" w14:textId="77777777" w:rsidTr="009F10EA">
        <w:tc>
          <w:tcPr>
            <w:tcW w:w="1843" w:type="dxa"/>
            <w:shd w:val="clear" w:color="auto" w:fill="E7E6E6"/>
          </w:tcPr>
          <w:p w14:paraId="6F3894CB" w14:textId="77777777" w:rsidR="00374387" w:rsidRPr="00374387" w:rsidRDefault="00374387" w:rsidP="00374387">
            <w:pPr>
              <w:pStyle w:val="IEEEParagraph"/>
              <w:ind w:firstLine="0"/>
              <w:rPr>
                <w:sz w:val="22"/>
                <w:szCs w:val="22"/>
              </w:rPr>
            </w:pPr>
          </w:p>
        </w:tc>
        <w:tc>
          <w:tcPr>
            <w:tcW w:w="1552" w:type="dxa"/>
            <w:shd w:val="clear" w:color="auto" w:fill="E7E6E6"/>
          </w:tcPr>
          <w:p w14:paraId="68B10F81" w14:textId="6B2ED937" w:rsidR="00374387" w:rsidRPr="00374387" w:rsidRDefault="002919C3" w:rsidP="00374387">
            <w:pPr>
              <w:pStyle w:val="IEEEParagraph"/>
              <w:ind w:firstLine="0"/>
              <w:rPr>
                <w:sz w:val="22"/>
                <w:szCs w:val="22"/>
              </w:rPr>
            </w:pPr>
            <w:r>
              <w:rPr>
                <w:sz w:val="22"/>
                <w:szCs w:val="22"/>
              </w:rPr>
              <w:t>Total</w:t>
            </w:r>
          </w:p>
        </w:tc>
        <w:tc>
          <w:tcPr>
            <w:tcW w:w="858" w:type="dxa"/>
            <w:shd w:val="clear" w:color="auto" w:fill="E7E6E6"/>
          </w:tcPr>
          <w:p w14:paraId="6BACA718" w14:textId="77777777" w:rsidR="00374387" w:rsidRPr="00374387" w:rsidRDefault="00374387" w:rsidP="00374387">
            <w:pPr>
              <w:pStyle w:val="IEEEParagraph"/>
              <w:ind w:firstLine="0"/>
              <w:jc w:val="center"/>
              <w:rPr>
                <w:sz w:val="22"/>
                <w:szCs w:val="22"/>
              </w:rPr>
            </w:pPr>
            <w:r w:rsidRPr="00374387">
              <w:rPr>
                <w:sz w:val="22"/>
                <w:szCs w:val="22"/>
              </w:rPr>
              <w:t>14</w:t>
            </w:r>
          </w:p>
        </w:tc>
        <w:tc>
          <w:tcPr>
            <w:tcW w:w="708" w:type="dxa"/>
            <w:shd w:val="clear" w:color="auto" w:fill="E7E6E6"/>
          </w:tcPr>
          <w:p w14:paraId="59933EC0" w14:textId="77777777" w:rsidR="00374387" w:rsidRPr="00374387" w:rsidRDefault="00374387" w:rsidP="00374387">
            <w:pPr>
              <w:pStyle w:val="IEEEParagraph"/>
              <w:ind w:firstLine="0"/>
              <w:jc w:val="center"/>
              <w:rPr>
                <w:sz w:val="22"/>
                <w:szCs w:val="22"/>
              </w:rPr>
            </w:pPr>
            <w:r w:rsidRPr="00374387">
              <w:rPr>
                <w:sz w:val="22"/>
                <w:szCs w:val="22"/>
              </w:rPr>
              <w:t>100</w:t>
            </w:r>
          </w:p>
        </w:tc>
      </w:tr>
    </w:tbl>
    <w:p w14:paraId="76028D82" w14:textId="3C44A3A1" w:rsidR="00A41C3B" w:rsidRPr="005532D1" w:rsidRDefault="00F12622" w:rsidP="005532D1">
      <w:pPr>
        <w:autoSpaceDE w:val="0"/>
        <w:autoSpaceDN w:val="0"/>
        <w:adjustRightInd w:val="0"/>
        <w:ind w:firstLine="360"/>
        <w:jc w:val="both"/>
        <w:rPr>
          <w:rFonts w:ascii="Times New Roman" w:hAnsi="Times New Roman" w:cs="Times New Roman"/>
          <w:color w:val="000000"/>
          <w:lang w:val="en-ID" w:eastAsia="en-ID"/>
        </w:rPr>
      </w:pPr>
      <w:r w:rsidRPr="00F12622">
        <w:rPr>
          <w:rFonts w:ascii="Times New Roman" w:hAnsi="Times New Roman" w:cs="Times New Roman"/>
          <w:color w:val="000000"/>
          <w:lang w:val="en-ID" w:eastAsia="en-ID"/>
        </w:rPr>
        <w:t>Table 1 shows the frequency distribution data of the characteristics of research subjects who are male by 57.1% (8 people) and female by 42.9% (6 people).</w:t>
      </w:r>
    </w:p>
    <w:p w14:paraId="52A155ED" w14:textId="754F515A" w:rsidR="00374387" w:rsidRPr="005532D1" w:rsidRDefault="005532D1" w:rsidP="005532D1">
      <w:pPr>
        <w:pStyle w:val="IEEEParagraph"/>
        <w:numPr>
          <w:ilvl w:val="0"/>
          <w:numId w:val="6"/>
        </w:numPr>
        <w:rPr>
          <w:i/>
          <w:iCs/>
          <w:color w:val="000000"/>
        </w:rPr>
      </w:pPr>
      <w:r w:rsidRPr="00F24D6C">
        <w:rPr>
          <w:i/>
          <w:iCs/>
          <w:color w:val="000000"/>
        </w:rPr>
        <w:t>Data Normality Test</w:t>
      </w:r>
    </w:p>
    <w:p w14:paraId="126A58A4" w14:textId="59C93D10" w:rsidR="00374387" w:rsidRPr="008C7FB8" w:rsidRDefault="008C7FB8" w:rsidP="008C7FB8">
      <w:pPr>
        <w:pStyle w:val="Caption"/>
        <w:jc w:val="center"/>
        <w:rPr>
          <w:color w:val="000000"/>
        </w:rPr>
      </w:pPr>
      <w:r w:rsidRPr="00F24D6C">
        <w:rPr>
          <w:color w:val="000000"/>
        </w:rPr>
        <w:t xml:space="preserve">Tabel </w:t>
      </w:r>
      <w:r w:rsidRPr="00F24D6C">
        <w:rPr>
          <w:color w:val="000000"/>
        </w:rPr>
        <w:fldChar w:fldCharType="begin"/>
      </w:r>
      <w:r w:rsidRPr="00F24D6C">
        <w:rPr>
          <w:color w:val="000000"/>
        </w:rPr>
        <w:instrText xml:space="preserve"> SEQ Tabel \* ARABIC </w:instrText>
      </w:r>
      <w:r w:rsidRPr="00F24D6C">
        <w:rPr>
          <w:color w:val="000000"/>
        </w:rPr>
        <w:fldChar w:fldCharType="separate"/>
      </w:r>
      <w:r w:rsidRPr="00F24D6C">
        <w:rPr>
          <w:noProof/>
          <w:color w:val="000000"/>
        </w:rPr>
        <w:t>2</w:t>
      </w:r>
      <w:r w:rsidRPr="00F24D6C">
        <w:rPr>
          <w:color w:val="000000"/>
        </w:rPr>
        <w:fldChar w:fldCharType="end"/>
      </w:r>
      <w:r w:rsidRPr="00F24D6C">
        <w:rPr>
          <w:color w:val="000000"/>
        </w:rPr>
        <w:t xml:space="preserve"> Normality test of data score of knowledge of oral health maintenance of stroke elderly people</w:t>
      </w:r>
    </w:p>
    <w:tbl>
      <w:tblPr>
        <w:tblW w:w="4962"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843"/>
        <w:gridCol w:w="1701"/>
        <w:gridCol w:w="1418"/>
      </w:tblGrid>
      <w:tr w:rsidR="008C7FB8" w:rsidRPr="00374387" w14:paraId="3E7B6BD6" w14:textId="77777777" w:rsidTr="009F10EA">
        <w:tc>
          <w:tcPr>
            <w:tcW w:w="3544" w:type="dxa"/>
            <w:gridSpan w:val="2"/>
            <w:shd w:val="clear" w:color="auto" w:fill="E7E6E6"/>
          </w:tcPr>
          <w:p w14:paraId="14D74281" w14:textId="57D14089" w:rsidR="008C7FB8" w:rsidRPr="00374387" w:rsidRDefault="008C7FB8" w:rsidP="008C7FB8">
            <w:pPr>
              <w:pStyle w:val="IEEEParagraph"/>
              <w:ind w:firstLine="0"/>
              <w:jc w:val="center"/>
              <w:rPr>
                <w:b/>
                <w:bCs/>
                <w:sz w:val="22"/>
                <w:szCs w:val="22"/>
              </w:rPr>
            </w:pPr>
            <w:r w:rsidRPr="00F24D6C">
              <w:rPr>
                <w:b/>
                <w:bCs/>
                <w:color w:val="000000"/>
              </w:rPr>
              <w:t>Variable</w:t>
            </w:r>
          </w:p>
        </w:tc>
        <w:tc>
          <w:tcPr>
            <w:tcW w:w="1418" w:type="dxa"/>
            <w:shd w:val="clear" w:color="auto" w:fill="E7E6E6"/>
          </w:tcPr>
          <w:p w14:paraId="211F07D0" w14:textId="1A74EC80" w:rsidR="008C7FB8" w:rsidRPr="00374387" w:rsidRDefault="008C7FB8" w:rsidP="008C7FB8">
            <w:pPr>
              <w:pStyle w:val="IEEEParagraph"/>
              <w:ind w:firstLine="0"/>
              <w:jc w:val="center"/>
              <w:rPr>
                <w:b/>
                <w:bCs/>
                <w:sz w:val="22"/>
                <w:szCs w:val="22"/>
              </w:rPr>
            </w:pPr>
            <w:r w:rsidRPr="00F24D6C">
              <w:rPr>
                <w:b/>
                <w:bCs/>
                <w:color w:val="000000"/>
              </w:rPr>
              <w:t>P-</w:t>
            </w:r>
            <w:r w:rsidRPr="00F24D6C">
              <w:rPr>
                <w:b/>
                <w:bCs/>
                <w:i/>
                <w:iCs/>
                <w:color w:val="000000"/>
              </w:rPr>
              <w:t>value</w:t>
            </w:r>
          </w:p>
        </w:tc>
      </w:tr>
      <w:tr w:rsidR="008C7FB8" w:rsidRPr="00374387" w14:paraId="201417B8" w14:textId="77777777" w:rsidTr="009F10EA">
        <w:tc>
          <w:tcPr>
            <w:tcW w:w="1843" w:type="dxa"/>
            <w:shd w:val="clear" w:color="auto" w:fill="auto"/>
          </w:tcPr>
          <w:p w14:paraId="1FE4D034" w14:textId="60CE281B" w:rsidR="008C7FB8" w:rsidRPr="00374387" w:rsidRDefault="008C7FB8" w:rsidP="008C7FB8">
            <w:pPr>
              <w:pStyle w:val="IEEEParagraph"/>
              <w:ind w:firstLine="0"/>
              <w:rPr>
                <w:sz w:val="22"/>
                <w:szCs w:val="22"/>
              </w:rPr>
            </w:pPr>
            <w:r w:rsidRPr="00F24D6C">
              <w:rPr>
                <w:color w:val="000000"/>
              </w:rPr>
              <w:t>Pretest</w:t>
            </w:r>
          </w:p>
        </w:tc>
        <w:tc>
          <w:tcPr>
            <w:tcW w:w="1701" w:type="dxa"/>
            <w:shd w:val="clear" w:color="auto" w:fill="auto"/>
          </w:tcPr>
          <w:p w14:paraId="28141E1A" w14:textId="0332E25F" w:rsidR="008C7FB8" w:rsidRPr="00374387" w:rsidRDefault="008C7FB8" w:rsidP="008C7FB8">
            <w:pPr>
              <w:pStyle w:val="IEEEParagraph"/>
              <w:ind w:firstLine="0"/>
              <w:rPr>
                <w:sz w:val="22"/>
                <w:szCs w:val="22"/>
              </w:rPr>
            </w:pPr>
            <w:r w:rsidRPr="00F24D6C">
              <w:rPr>
                <w:color w:val="000000"/>
              </w:rPr>
              <w:t>0,048</w:t>
            </w:r>
          </w:p>
        </w:tc>
        <w:tc>
          <w:tcPr>
            <w:tcW w:w="1418" w:type="dxa"/>
            <w:shd w:val="clear" w:color="auto" w:fill="auto"/>
          </w:tcPr>
          <w:p w14:paraId="26D3A2AA" w14:textId="77777777" w:rsidR="008C7FB8" w:rsidRPr="00374387" w:rsidRDefault="008C7FB8" w:rsidP="008C7FB8">
            <w:pPr>
              <w:pStyle w:val="IEEEParagraph"/>
              <w:ind w:firstLine="0"/>
              <w:jc w:val="center"/>
              <w:rPr>
                <w:sz w:val="22"/>
                <w:szCs w:val="22"/>
              </w:rPr>
            </w:pPr>
            <w:r w:rsidRPr="00374387">
              <w:rPr>
                <w:sz w:val="22"/>
                <w:szCs w:val="22"/>
              </w:rPr>
              <w:t>0,048</w:t>
            </w:r>
          </w:p>
        </w:tc>
      </w:tr>
      <w:tr w:rsidR="008C7FB8" w:rsidRPr="00374387" w14:paraId="37506FDD" w14:textId="77777777" w:rsidTr="009F10EA">
        <w:tc>
          <w:tcPr>
            <w:tcW w:w="1843" w:type="dxa"/>
            <w:shd w:val="clear" w:color="auto" w:fill="auto"/>
          </w:tcPr>
          <w:p w14:paraId="3DDEBE04" w14:textId="522313E1" w:rsidR="008C7FB8" w:rsidRPr="00374387" w:rsidRDefault="008C7FB8" w:rsidP="008C7FB8">
            <w:pPr>
              <w:pStyle w:val="IEEEParagraph"/>
              <w:ind w:firstLine="0"/>
              <w:rPr>
                <w:sz w:val="22"/>
                <w:szCs w:val="22"/>
              </w:rPr>
            </w:pPr>
            <w:r w:rsidRPr="00F24D6C">
              <w:rPr>
                <w:color w:val="000000"/>
              </w:rPr>
              <w:t>Postest</w:t>
            </w:r>
          </w:p>
        </w:tc>
        <w:tc>
          <w:tcPr>
            <w:tcW w:w="1701" w:type="dxa"/>
            <w:shd w:val="clear" w:color="auto" w:fill="auto"/>
          </w:tcPr>
          <w:p w14:paraId="252C86EE" w14:textId="72C8DE16" w:rsidR="008C7FB8" w:rsidRPr="00374387" w:rsidRDefault="008C7FB8" w:rsidP="008C7FB8">
            <w:pPr>
              <w:pStyle w:val="IEEEParagraph"/>
              <w:ind w:firstLine="0"/>
              <w:rPr>
                <w:sz w:val="22"/>
                <w:szCs w:val="22"/>
              </w:rPr>
            </w:pPr>
            <w:r w:rsidRPr="00F24D6C">
              <w:rPr>
                <w:color w:val="000000"/>
              </w:rPr>
              <w:t>0,002</w:t>
            </w:r>
          </w:p>
        </w:tc>
        <w:tc>
          <w:tcPr>
            <w:tcW w:w="1418" w:type="dxa"/>
            <w:shd w:val="clear" w:color="auto" w:fill="auto"/>
          </w:tcPr>
          <w:p w14:paraId="38412C62" w14:textId="77777777" w:rsidR="008C7FB8" w:rsidRPr="00374387" w:rsidRDefault="008C7FB8" w:rsidP="008C7FB8">
            <w:pPr>
              <w:pStyle w:val="IEEEParagraph"/>
              <w:ind w:firstLine="0"/>
              <w:jc w:val="center"/>
              <w:rPr>
                <w:sz w:val="22"/>
                <w:szCs w:val="22"/>
              </w:rPr>
            </w:pPr>
            <w:r w:rsidRPr="00374387">
              <w:rPr>
                <w:sz w:val="22"/>
                <w:szCs w:val="22"/>
              </w:rPr>
              <w:t>0,002</w:t>
            </w:r>
          </w:p>
        </w:tc>
      </w:tr>
    </w:tbl>
    <w:p w14:paraId="02B36F67" w14:textId="270B3FD1" w:rsidR="00A41C3B" w:rsidRPr="008C7FB8" w:rsidRDefault="008C7FB8" w:rsidP="008C7FB8">
      <w:pPr>
        <w:pStyle w:val="IEEEParagraph"/>
        <w:ind w:firstLine="360"/>
        <w:rPr>
          <w:color w:val="000000"/>
          <w:sz w:val="22"/>
          <w:szCs w:val="22"/>
        </w:rPr>
      </w:pPr>
      <w:r w:rsidRPr="008C7FB8">
        <w:rPr>
          <w:color w:val="000000"/>
          <w:sz w:val="22"/>
          <w:szCs w:val="22"/>
        </w:rPr>
        <w:t xml:space="preserve">Based on table 2 shows the results of the normality test of pretest and posttest data on knowledge of oral health maintenance in stroke elderly obtained p value &lt;0.05, meaning that the data is not normally distributed so that the effectiveness test is analyzed using non-parametric tests. </w:t>
      </w:r>
    </w:p>
    <w:p w14:paraId="38957233" w14:textId="77777777" w:rsidR="008C7FB8" w:rsidRPr="008C7FB8" w:rsidRDefault="008C7FB8" w:rsidP="008C7FB8">
      <w:pPr>
        <w:pStyle w:val="IEEEParagraph"/>
        <w:ind w:firstLine="360"/>
        <w:rPr>
          <w:color w:val="000000"/>
        </w:rPr>
      </w:pPr>
    </w:p>
    <w:p w14:paraId="6BA99F15" w14:textId="64DBA8B8" w:rsidR="00374387" w:rsidRPr="00052BE1" w:rsidRDefault="00052BE1" w:rsidP="00052BE1">
      <w:pPr>
        <w:pStyle w:val="IEEEParagraph"/>
        <w:numPr>
          <w:ilvl w:val="0"/>
          <w:numId w:val="6"/>
        </w:numPr>
        <w:rPr>
          <w:color w:val="000000"/>
        </w:rPr>
      </w:pPr>
      <w:r w:rsidRPr="00F24D6C">
        <w:rPr>
          <w:color w:val="000000"/>
        </w:rPr>
        <w:t>Bivariate Analysis</w:t>
      </w:r>
    </w:p>
    <w:p w14:paraId="3B2A9E79" w14:textId="77777777" w:rsidR="00D4367D" w:rsidRPr="00F24D6C" w:rsidRDefault="00D4367D" w:rsidP="00D4367D">
      <w:pPr>
        <w:pStyle w:val="Caption"/>
        <w:jc w:val="both"/>
        <w:rPr>
          <w:color w:val="000000"/>
        </w:rPr>
      </w:pPr>
      <w:r w:rsidRPr="00F24D6C">
        <w:rPr>
          <w:color w:val="000000"/>
        </w:rPr>
        <w:t xml:space="preserve">Tabel </w:t>
      </w:r>
      <w:r w:rsidRPr="00F24D6C">
        <w:rPr>
          <w:color w:val="000000"/>
        </w:rPr>
        <w:fldChar w:fldCharType="begin"/>
      </w:r>
      <w:r w:rsidRPr="00F24D6C">
        <w:rPr>
          <w:color w:val="000000"/>
        </w:rPr>
        <w:instrText xml:space="preserve"> SEQ Tabel \* ARABIC </w:instrText>
      </w:r>
      <w:r w:rsidRPr="00F24D6C">
        <w:rPr>
          <w:color w:val="000000"/>
        </w:rPr>
        <w:fldChar w:fldCharType="separate"/>
      </w:r>
      <w:r w:rsidRPr="00F24D6C">
        <w:rPr>
          <w:noProof/>
          <w:color w:val="000000"/>
        </w:rPr>
        <w:t>3</w:t>
      </w:r>
      <w:r w:rsidRPr="00F24D6C">
        <w:rPr>
          <w:color w:val="000000"/>
        </w:rPr>
        <w:fldChar w:fldCharType="end"/>
      </w:r>
      <w:r w:rsidRPr="00F24D6C">
        <w:rPr>
          <w:color w:val="000000"/>
        </w:rPr>
        <w:t xml:space="preserve"> Results of the test for the difference in oral health knowledge before and after the LIPSIAS application intervention</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881"/>
        <w:gridCol w:w="940"/>
        <w:gridCol w:w="708"/>
        <w:gridCol w:w="130"/>
        <w:gridCol w:w="1093"/>
      </w:tblGrid>
      <w:tr w:rsidR="002557F1" w:rsidRPr="00F24D6C" w14:paraId="3FFD5FDB" w14:textId="77777777" w:rsidTr="00FD7765">
        <w:tc>
          <w:tcPr>
            <w:tcW w:w="1951" w:type="dxa"/>
            <w:shd w:val="clear" w:color="auto" w:fill="E7E6E6"/>
          </w:tcPr>
          <w:p w14:paraId="7DC44ABD" w14:textId="77777777" w:rsidR="002557F1" w:rsidRPr="00F24D6C" w:rsidRDefault="002557F1" w:rsidP="00FD7765">
            <w:pPr>
              <w:pStyle w:val="IEEEParagraph"/>
              <w:ind w:firstLine="0"/>
              <w:rPr>
                <w:b/>
                <w:bCs/>
                <w:color w:val="000000"/>
              </w:rPr>
            </w:pPr>
            <w:r w:rsidRPr="00F24D6C">
              <w:rPr>
                <w:b/>
                <w:bCs/>
                <w:color w:val="000000"/>
              </w:rPr>
              <w:t>Knowledge</w:t>
            </w:r>
          </w:p>
        </w:tc>
        <w:tc>
          <w:tcPr>
            <w:tcW w:w="992" w:type="dxa"/>
            <w:shd w:val="clear" w:color="auto" w:fill="E7E6E6"/>
          </w:tcPr>
          <w:p w14:paraId="6E742CC5" w14:textId="77777777" w:rsidR="002557F1" w:rsidRPr="00F24D6C" w:rsidRDefault="002557F1" w:rsidP="00FD7765">
            <w:pPr>
              <w:pStyle w:val="IEEEParagraph"/>
              <w:ind w:firstLine="0"/>
              <w:rPr>
                <w:b/>
                <w:bCs/>
                <w:color w:val="000000"/>
              </w:rPr>
            </w:pPr>
            <w:r w:rsidRPr="00F24D6C">
              <w:rPr>
                <w:b/>
                <w:bCs/>
                <w:color w:val="000000"/>
              </w:rPr>
              <w:t>N</w:t>
            </w:r>
          </w:p>
        </w:tc>
        <w:tc>
          <w:tcPr>
            <w:tcW w:w="851" w:type="dxa"/>
            <w:gridSpan w:val="2"/>
            <w:shd w:val="clear" w:color="auto" w:fill="E7E6E6"/>
          </w:tcPr>
          <w:p w14:paraId="79E661FF" w14:textId="77777777" w:rsidR="002557F1" w:rsidRPr="00F24D6C" w:rsidRDefault="002557F1" w:rsidP="00FD7765">
            <w:pPr>
              <w:pStyle w:val="IEEEParagraph"/>
              <w:ind w:firstLine="0"/>
              <w:rPr>
                <w:b/>
                <w:bCs/>
                <w:color w:val="000000"/>
              </w:rPr>
            </w:pPr>
            <w:r w:rsidRPr="00F24D6C">
              <w:rPr>
                <w:b/>
                <w:bCs/>
                <w:color w:val="000000"/>
              </w:rPr>
              <w:t>Mean</w:t>
            </w:r>
          </w:p>
        </w:tc>
        <w:tc>
          <w:tcPr>
            <w:tcW w:w="1134" w:type="dxa"/>
            <w:shd w:val="clear" w:color="auto" w:fill="E7E6E6"/>
          </w:tcPr>
          <w:p w14:paraId="164A6B26" w14:textId="77777777" w:rsidR="002557F1" w:rsidRPr="00F24D6C" w:rsidRDefault="002557F1" w:rsidP="00FD7765">
            <w:pPr>
              <w:pStyle w:val="IEEEParagraph"/>
              <w:ind w:firstLine="0"/>
              <w:rPr>
                <w:b/>
                <w:bCs/>
                <w:color w:val="000000"/>
              </w:rPr>
            </w:pPr>
            <w:r w:rsidRPr="00F24D6C">
              <w:rPr>
                <w:b/>
                <w:bCs/>
                <w:color w:val="000000"/>
              </w:rPr>
              <w:t>P-value</w:t>
            </w:r>
          </w:p>
        </w:tc>
      </w:tr>
      <w:tr w:rsidR="002557F1" w:rsidRPr="00F24D6C" w14:paraId="4B3282FE" w14:textId="77777777" w:rsidTr="00FD7765">
        <w:tc>
          <w:tcPr>
            <w:tcW w:w="1951" w:type="dxa"/>
            <w:shd w:val="clear" w:color="auto" w:fill="E7E6E6"/>
          </w:tcPr>
          <w:p w14:paraId="7653203C" w14:textId="77777777" w:rsidR="002557F1" w:rsidRPr="00F24D6C" w:rsidRDefault="002557F1" w:rsidP="00FD7765">
            <w:pPr>
              <w:pStyle w:val="IEEEParagraph"/>
              <w:ind w:firstLine="0"/>
              <w:rPr>
                <w:b/>
                <w:bCs/>
                <w:color w:val="000000"/>
              </w:rPr>
            </w:pPr>
            <w:r w:rsidRPr="00F24D6C">
              <w:rPr>
                <w:b/>
                <w:bCs/>
                <w:color w:val="000000"/>
              </w:rPr>
              <w:t>Pre test</w:t>
            </w:r>
          </w:p>
        </w:tc>
        <w:tc>
          <w:tcPr>
            <w:tcW w:w="992" w:type="dxa"/>
            <w:shd w:val="clear" w:color="auto" w:fill="auto"/>
          </w:tcPr>
          <w:p w14:paraId="6E08892B" w14:textId="77777777" w:rsidR="002557F1" w:rsidRPr="00F24D6C" w:rsidRDefault="002557F1" w:rsidP="00FD7765">
            <w:pPr>
              <w:pStyle w:val="IEEEParagraph"/>
              <w:ind w:firstLine="0"/>
              <w:rPr>
                <w:color w:val="000000"/>
              </w:rPr>
            </w:pPr>
            <w:r w:rsidRPr="00F24D6C">
              <w:rPr>
                <w:color w:val="000000"/>
              </w:rPr>
              <w:t>14</w:t>
            </w:r>
          </w:p>
        </w:tc>
        <w:tc>
          <w:tcPr>
            <w:tcW w:w="709" w:type="dxa"/>
            <w:shd w:val="clear" w:color="auto" w:fill="auto"/>
          </w:tcPr>
          <w:p w14:paraId="58831BB3" w14:textId="77777777" w:rsidR="002557F1" w:rsidRPr="00F24D6C" w:rsidRDefault="002557F1" w:rsidP="00FD7765">
            <w:pPr>
              <w:pStyle w:val="IEEEParagraph"/>
              <w:ind w:firstLine="0"/>
              <w:jc w:val="center"/>
              <w:rPr>
                <w:color w:val="000000"/>
              </w:rPr>
            </w:pPr>
            <w:r w:rsidRPr="00F24D6C">
              <w:rPr>
                <w:color w:val="000000"/>
              </w:rPr>
              <w:t>4,07</w:t>
            </w:r>
          </w:p>
        </w:tc>
        <w:tc>
          <w:tcPr>
            <w:tcW w:w="1276" w:type="dxa"/>
            <w:gridSpan w:val="2"/>
            <w:vMerge w:val="restart"/>
            <w:shd w:val="clear" w:color="auto" w:fill="auto"/>
          </w:tcPr>
          <w:p w14:paraId="38CA7D37" w14:textId="77777777" w:rsidR="002557F1" w:rsidRPr="00F24D6C" w:rsidRDefault="002557F1" w:rsidP="00FD7765">
            <w:pPr>
              <w:pStyle w:val="IEEEParagraph"/>
              <w:ind w:firstLine="0"/>
              <w:rPr>
                <w:color w:val="000000"/>
              </w:rPr>
            </w:pPr>
            <w:r w:rsidRPr="00F24D6C">
              <w:rPr>
                <w:color w:val="000000"/>
              </w:rPr>
              <w:t xml:space="preserve">     0,001</w:t>
            </w:r>
          </w:p>
        </w:tc>
      </w:tr>
      <w:tr w:rsidR="002557F1" w:rsidRPr="00F24D6C" w14:paraId="0295D77E" w14:textId="77777777" w:rsidTr="00FD7765">
        <w:tc>
          <w:tcPr>
            <w:tcW w:w="1951" w:type="dxa"/>
            <w:shd w:val="clear" w:color="auto" w:fill="E7E6E6"/>
          </w:tcPr>
          <w:p w14:paraId="6BD82635" w14:textId="77777777" w:rsidR="002557F1" w:rsidRPr="00F24D6C" w:rsidRDefault="002557F1" w:rsidP="00FD7765">
            <w:pPr>
              <w:pStyle w:val="IEEEParagraph"/>
              <w:ind w:firstLine="0"/>
              <w:rPr>
                <w:b/>
                <w:bCs/>
                <w:color w:val="000000"/>
              </w:rPr>
            </w:pPr>
            <w:r w:rsidRPr="00F24D6C">
              <w:rPr>
                <w:b/>
                <w:bCs/>
                <w:color w:val="000000"/>
              </w:rPr>
              <w:t>Post test</w:t>
            </w:r>
          </w:p>
        </w:tc>
        <w:tc>
          <w:tcPr>
            <w:tcW w:w="992" w:type="dxa"/>
            <w:shd w:val="clear" w:color="auto" w:fill="auto"/>
          </w:tcPr>
          <w:p w14:paraId="5E3EBA96" w14:textId="77777777" w:rsidR="002557F1" w:rsidRPr="00F24D6C" w:rsidRDefault="002557F1" w:rsidP="00FD7765">
            <w:pPr>
              <w:pStyle w:val="IEEEParagraph"/>
              <w:ind w:firstLine="0"/>
              <w:rPr>
                <w:color w:val="000000"/>
              </w:rPr>
            </w:pPr>
            <w:r w:rsidRPr="00F24D6C">
              <w:rPr>
                <w:color w:val="000000"/>
              </w:rPr>
              <w:t>13</w:t>
            </w:r>
          </w:p>
        </w:tc>
        <w:tc>
          <w:tcPr>
            <w:tcW w:w="709" w:type="dxa"/>
            <w:shd w:val="clear" w:color="auto" w:fill="auto"/>
          </w:tcPr>
          <w:p w14:paraId="2788E5BC" w14:textId="77777777" w:rsidR="002557F1" w:rsidRPr="00F24D6C" w:rsidRDefault="002557F1" w:rsidP="00FD7765">
            <w:pPr>
              <w:pStyle w:val="IEEEParagraph"/>
              <w:ind w:firstLine="0"/>
              <w:jc w:val="center"/>
              <w:rPr>
                <w:color w:val="000000"/>
              </w:rPr>
            </w:pPr>
            <w:r w:rsidRPr="00F24D6C">
              <w:rPr>
                <w:color w:val="000000"/>
              </w:rPr>
              <w:t>8</w:t>
            </w:r>
          </w:p>
        </w:tc>
        <w:tc>
          <w:tcPr>
            <w:tcW w:w="1276" w:type="dxa"/>
            <w:gridSpan w:val="2"/>
            <w:vMerge/>
            <w:shd w:val="clear" w:color="auto" w:fill="auto"/>
          </w:tcPr>
          <w:p w14:paraId="49E21D96" w14:textId="77777777" w:rsidR="002557F1" w:rsidRPr="00F24D6C" w:rsidRDefault="002557F1" w:rsidP="00FD7765">
            <w:pPr>
              <w:pStyle w:val="IEEEParagraph"/>
              <w:ind w:firstLine="0"/>
              <w:rPr>
                <w:color w:val="000000"/>
              </w:rPr>
            </w:pPr>
          </w:p>
        </w:tc>
      </w:tr>
    </w:tbl>
    <w:p w14:paraId="4978A1A3" w14:textId="77777777" w:rsidR="002557F1" w:rsidRPr="00F24D6C" w:rsidRDefault="002557F1" w:rsidP="002557F1">
      <w:pPr>
        <w:pStyle w:val="IEEEParagraph"/>
        <w:rPr>
          <w:color w:val="000000"/>
        </w:rPr>
      </w:pPr>
    </w:p>
    <w:p w14:paraId="07145162" w14:textId="12954F14" w:rsidR="00374387" w:rsidRPr="002557F1" w:rsidRDefault="002557F1" w:rsidP="00374387">
      <w:pPr>
        <w:pStyle w:val="IEEEParagraph"/>
        <w:contextualSpacing/>
        <w:rPr>
          <w:sz w:val="22"/>
          <w:szCs w:val="22"/>
        </w:rPr>
      </w:pPr>
      <w:r w:rsidRPr="002557F1">
        <w:rPr>
          <w:color w:val="000000"/>
          <w:sz w:val="22"/>
          <w:szCs w:val="22"/>
        </w:rPr>
        <w:t xml:space="preserve">Table 3 shows that the test results using the Wilcoxon test obtained a p-value of 0.001 (p &lt; 0.05) so it can be concluded that there is a significant difference in the knowledge of dental and oral health maintenance of stroke elderly before and after being given the LIPSIAS application intervention. Before treatment, the average value of knowledge of stroke elderly was 4.07 which was included in the “less” category </w:t>
      </w:r>
      <w:r w:rsidRPr="002557F1">
        <w:rPr>
          <w:color w:val="000000"/>
          <w:sz w:val="22"/>
          <w:szCs w:val="22"/>
        </w:rPr>
        <w:lastRenderedPageBreak/>
        <w:t>increased to 8 which was included in the “good” category</w:t>
      </w:r>
    </w:p>
    <w:p w14:paraId="2AE4E78B" w14:textId="77777777" w:rsidR="00A41C3B" w:rsidRDefault="00A41C3B" w:rsidP="00096DD2">
      <w:pPr>
        <w:tabs>
          <w:tab w:val="left" w:pos="3969"/>
          <w:tab w:val="left" w:pos="4253"/>
        </w:tabs>
        <w:spacing w:after="0" w:line="240" w:lineRule="auto"/>
        <w:jc w:val="center"/>
        <w:rPr>
          <w:rFonts w:ascii="Times New Roman" w:hAnsi="Times New Roman"/>
          <w:b/>
        </w:rPr>
      </w:pPr>
    </w:p>
    <w:p w14:paraId="0A6F84FE" w14:textId="29E1C91C" w:rsidR="00A41C3B" w:rsidRDefault="00A41C3B" w:rsidP="00262431">
      <w:pPr>
        <w:tabs>
          <w:tab w:val="left" w:pos="3969"/>
          <w:tab w:val="left" w:pos="4253"/>
        </w:tabs>
        <w:spacing w:after="0" w:line="240" w:lineRule="auto"/>
        <w:jc w:val="center"/>
        <w:rPr>
          <w:rFonts w:ascii="Times New Roman" w:hAnsi="Times New Roman"/>
          <w:b/>
        </w:rPr>
      </w:pPr>
      <w:r>
        <w:rPr>
          <w:rFonts w:ascii="Times New Roman" w:hAnsi="Times New Roman"/>
          <w:b/>
        </w:rPr>
        <w:t>Discussion</w:t>
      </w:r>
    </w:p>
    <w:p w14:paraId="55ECFF8D" w14:textId="77777777" w:rsidR="00262431" w:rsidRPr="00262431" w:rsidRDefault="00262431" w:rsidP="00262431">
      <w:pPr>
        <w:tabs>
          <w:tab w:val="left" w:pos="3969"/>
          <w:tab w:val="left" w:pos="4253"/>
        </w:tabs>
        <w:spacing w:after="0" w:line="240" w:lineRule="auto"/>
        <w:jc w:val="center"/>
        <w:rPr>
          <w:rFonts w:ascii="Times New Roman" w:hAnsi="Times New Roman"/>
          <w:b/>
        </w:rPr>
      </w:pPr>
    </w:p>
    <w:p w14:paraId="02647CEA" w14:textId="77777777" w:rsidR="002557F1" w:rsidRPr="00F24D6C" w:rsidRDefault="002557F1" w:rsidP="002557F1">
      <w:pPr>
        <w:pStyle w:val="IEEEParagraph"/>
        <w:contextualSpacing/>
        <w:rPr>
          <w:color w:val="000000"/>
        </w:rPr>
      </w:pPr>
      <w:r w:rsidRPr="00F24D6C">
        <w:rPr>
          <w:color w:val="000000"/>
        </w:rPr>
        <w:t xml:space="preserve">Research activities were carried out at the Potroyudan Jepara Elderly Social Service Home on October 23-27, 2023 with empowerment activities for stroke elderly companions using the LIPSIAS application as an effort to increase companion knowledge on how to maintain oral health of stroke elderly. </w:t>
      </w:r>
    </w:p>
    <w:p w14:paraId="6418C817" w14:textId="77777777" w:rsidR="002557F1" w:rsidRPr="00F24D6C" w:rsidRDefault="002557F1" w:rsidP="002557F1">
      <w:pPr>
        <w:pStyle w:val="IEEEParagraph"/>
        <w:contextualSpacing/>
        <w:rPr>
          <w:color w:val="000000"/>
        </w:rPr>
      </w:pPr>
      <w:r w:rsidRPr="00F24D6C">
        <w:rPr>
          <w:color w:val="000000"/>
        </w:rPr>
        <w:t>Based on the results of interviews with the Head of the Potroyudan Jepara Elderly Social Home in the problem identification process on October 03, 2023, it was concluded that the low knowledge of Stroke Elderly towards maintaining their dental health and the absence of a routine oral health program at PPSLU Potroyudan Jepara. In accordance with the existing problems, the LIPSIAS Program was created in the form of empowering assistants by conducting training for assistants so that they can provide education or counseling on how to maintain oral health such as brushing teeth, the right time to brush teeth, good and bad foods for elderly dental health using the LIPSIAS application which can be accessed via QR barcode scans.</w:t>
      </w:r>
    </w:p>
    <w:p w14:paraId="25C10535" w14:textId="77319CB9" w:rsidR="002557F1" w:rsidRPr="00F24D6C" w:rsidRDefault="002557F1" w:rsidP="002557F1">
      <w:pPr>
        <w:pStyle w:val="IEEEParagraph"/>
        <w:contextualSpacing/>
        <w:rPr>
          <w:color w:val="000000"/>
        </w:rPr>
      </w:pPr>
      <w:r w:rsidRPr="00F24D6C">
        <w:rPr>
          <w:color w:val="000000"/>
        </w:rPr>
        <w:t xml:space="preserve">Naturally, humans will experience the aging process, which is a decline in physiological and cognitive functions that can result in the vulnerability of individuals to various health problems </w:t>
      </w:r>
      <w:r w:rsidRPr="00F24D6C">
        <w:rPr>
          <w:color w:val="000000"/>
        </w:rPr>
        <w:fldChar w:fldCharType="begin" w:fldLock="1"/>
      </w:r>
      <w:r w:rsidR="00262431">
        <w:rPr>
          <w:color w:val="000000"/>
        </w:rPr>
        <w:instrText>ADDIN CSL_CITATION {"citationItems":[{"id":"ITEM-1","itemData":{"ISBN":"9781626239777","author":[{"dropping-particle":"","family":"Girsang","given":"Andry Poltak L","non-dropping-particle":"","parse-names":false,"suffix":""},{"dropping-particle":"","family":"Sulistyowati","given":"Rini","non-dropping-particle":"","parse-names":false,"suffix":""},{"dropping-particle":"","family":"Sulistyowati","given":"Nindya Putri","non-dropping-particle":"","parse-names":false,"suffix":""}],"id":"ITEM-1","issued":{"date-parts":[["2022"]]},"publisher":"Badan Pusat Statistik","publisher-place":"Jakarta","title":"Statistik Penduduk Lanjut Usia 2022","type":"book"},"uris":["http://www.mendeley.com/documents/?uuid=b16da455-1ab4-47cc-bc1b-4a0575f73a8a"]}],"mendeley":{"formattedCitation":"[6]","plainTextFormattedCitation":"[6]","previouslyFormattedCitation":"[6]"},"properties":{"noteIndex":0},"schema":"https://github.com/citation-style-language/schema/raw/master/csl-citation.json"}</w:instrText>
      </w:r>
      <w:r w:rsidRPr="00F24D6C">
        <w:rPr>
          <w:color w:val="000000"/>
        </w:rPr>
        <w:fldChar w:fldCharType="separate"/>
      </w:r>
      <w:r w:rsidRPr="00F24D6C">
        <w:rPr>
          <w:noProof/>
          <w:color w:val="000000"/>
        </w:rPr>
        <w:t>[6]</w:t>
      </w:r>
      <w:r w:rsidRPr="00F24D6C">
        <w:rPr>
          <w:color w:val="000000"/>
        </w:rPr>
        <w:fldChar w:fldCharType="end"/>
      </w:r>
      <w:r w:rsidRPr="00F24D6C">
        <w:rPr>
          <w:color w:val="000000"/>
        </w:rPr>
        <w:t>. However, not all changes in tissues, organs and systems are considered physiological. There are many factors that influence changes that are not part of aging in genera</w:t>
      </w:r>
      <w:bookmarkStart w:id="1" w:name="_GoBack"/>
      <w:bookmarkEnd w:id="1"/>
      <w:r w:rsidRPr="00F24D6C">
        <w:rPr>
          <w:color w:val="000000"/>
        </w:rPr>
        <w:t xml:space="preserve">l </w:t>
      </w:r>
      <w:r w:rsidRPr="00F24D6C">
        <w:rPr>
          <w:color w:val="000000"/>
        </w:rPr>
        <w:fldChar w:fldCharType="begin" w:fldLock="1"/>
      </w:r>
      <w:r w:rsidR="00262431">
        <w:rPr>
          <w:color w:val="000000"/>
        </w:rPr>
        <w:instrText>ADDIN CSL_CITATION {"citationItems":[{"id":"ITEM-1","itemData":{"DOI":"10.1016/j.cell.2013.05.039","abstract":"Aging is characterized by a progressive loss of physiological integrity, leading to impaired function and increased vulnerability to death. This deterioration is the primary risk factor for major human pathologies including cancer, diabetes, cardiovascular disorders, and neurodegenerative diseases. Aging research has experienced an unprecedented advance over recent years, particularly with the discovery that the rate of aging is controlled, at least to some extent, by genetic pathways and biochemical processes conserved in evolution. This review enumerates nine tentative hallmarks that represent common denominators of aging in different organisms, with special emphasis on mammalian aging. These hallmarks are: genomic instability, telomere attrition, epigenetic alterations, loss of proteostasis, deregulated nutrient-sensing, mitochondrial dysfunction, cellular senescence, stem cell exhaustion, and altered intercellular communication. A major challenge is to dissect the interconnectedness between the candidate hallmarks and their relative contribution to aging, with the final goal of identifying pharmaceutical targets to improve human health during aging with minimal side-effects.","author":[{"dropping-particle":"","family":"López-Otín","given":"Carlos","non-dropping-particle":"","parse-names":false,"suffix":""},{"dropping-particle":"","family":"Blasco","given":"Maria A","non-dropping-particle":"","parse-names":false,"suffix":""},{"dropping-particle":"","family":"Partridge","given":"Linda","non-dropping-particle":"","parse-names":false,"suffix":""},{"dropping-particle":"","family":"Serrano","given":"Manuel","non-dropping-particle":"","parse-names":false,"suffix":""},{"dropping-particle":"","family":"Kroemer","given":"Guido","non-dropping-particle":"","parse-names":false,"suffix":""}],"container-title":"Cell","id":"ITEM-1","issue":"6","issued":{"date-parts":[["2013"]]},"page":"1194-1217","title":"The Hallmarks of Aging","type":"article-journal","volume":"153"},"uris":["http://www.mendeley.com/documents/?uuid=4ba91f55-4068-46ad-9bff-7869c04b62f6"]}],"mendeley":{"formattedCitation":"[7]","plainTextFormattedCitation":"[7]","previouslyFormattedCitation":"[7]"},"properties":{"noteIndex":0},"schema":"https://github.com/citation-style-language/schema/raw/master/csl-citation.json"}</w:instrText>
      </w:r>
      <w:r w:rsidRPr="00F24D6C">
        <w:rPr>
          <w:color w:val="000000"/>
        </w:rPr>
        <w:fldChar w:fldCharType="separate"/>
      </w:r>
      <w:r w:rsidRPr="00F24D6C">
        <w:rPr>
          <w:noProof/>
          <w:color w:val="000000"/>
        </w:rPr>
        <w:t>[7]</w:t>
      </w:r>
      <w:r w:rsidRPr="00F24D6C">
        <w:rPr>
          <w:color w:val="000000"/>
        </w:rPr>
        <w:fldChar w:fldCharType="end"/>
      </w:r>
      <w:r w:rsidRPr="00F24D6C">
        <w:rPr>
          <w:color w:val="000000"/>
        </w:rPr>
        <w:t xml:space="preserve">. There are several physiological changes caused by aging and can cause disorders, including vision, hearing, body temperature regulation, skin, cardiovascular system, respiratory system, digestive system, genitourinary system, nervous system, and oral health. The oral health condition of the elderly is generally poor with an increase in tooth decay, gum disease, and tooth loss </w:t>
      </w:r>
      <w:r w:rsidRPr="00F24D6C">
        <w:rPr>
          <w:color w:val="000000"/>
        </w:rPr>
        <w:fldChar w:fldCharType="begin" w:fldLock="1"/>
      </w:r>
      <w:r w:rsidR="00262431">
        <w:rPr>
          <w:color w:val="000000"/>
        </w:rPr>
        <w:instrText>ADDIN CSL_CITATION {"citationItems":[{"id":"ITEM-1","itemData":{"DOI":"10.2147/CIA.S54630","ISSN":"11781998","PMID":"25709420","abstract":"Data on the oral health of the elderly depict a worrying situation, with an elevated prevalence of caries and moderate periodontal disease, frequent edentulism, and numerous cases of dry mouth and oral cancer. There is wide evidence that periodontitis is a risk factor for certain systemic diseases, and impaired oral health has been associated with mastication and nutritional problems, especially among the elderly, with highly negative effects on their quality of life. In this nonsystematic review, the authors discuss the importance of evaluating the oral health of the geriatric population in a comprehensive manner, beyond simple clinical assessments.","author":[{"dropping-particle":"","family":"Gil-Montoya","given":"José Antonio","non-dropping-particle":"","parse-names":false,"suffix":""},{"dropping-particle":"","family":"Mello","given":"Ana Lucia Ferreira","non-dropping-particle":"de","parse-names":false,"suffix":""},{"dropping-particle":"","family":"Barrios","given":"Rocío","non-dropping-particle":"","parse-names":false,"suffix":""},{"dropping-particle":"","family":"Gonzalez-Moles","given":"Miguel Angel","non-dropping-particle":"","parse-names":false,"suffix":""},{"dropping-particle":"","family":"Bravo","given":"Manuel","non-dropping-particle":"","parse-names":false,"suffix":""}],"container-title":"Clinical Interventions in Aging","id":"ITEM-1","issued":{"date-parts":[["2015"]]},"page":"461-467","title":"Oral health in the elderly patient and its impact on general well-being: A nonsystematic review","type":"article-journal","volume":"10"},"uris":["http://www.mendeley.com/documents/?uuid=3bfc9748-35c8-40b3-b9a4-1e7a49c0d308"]}],"mendeley":{"formattedCitation":"[8]","plainTextFormattedCitation":"[8]","previouslyFormattedCitation":"[8]"},"properties":{"noteIndex":0},"schema":"https://github.com/citation-style-language/schema/raw/master/csl-citation.json"}</w:instrText>
      </w:r>
      <w:r w:rsidRPr="00F24D6C">
        <w:rPr>
          <w:color w:val="000000"/>
        </w:rPr>
        <w:fldChar w:fldCharType="separate"/>
      </w:r>
      <w:r w:rsidRPr="00F24D6C">
        <w:rPr>
          <w:noProof/>
          <w:color w:val="000000"/>
        </w:rPr>
        <w:t>[8]</w:t>
      </w:r>
      <w:r w:rsidRPr="00F24D6C">
        <w:rPr>
          <w:color w:val="000000"/>
        </w:rPr>
        <w:fldChar w:fldCharType="end"/>
      </w:r>
      <w:r w:rsidRPr="00F24D6C">
        <w:rPr>
          <w:color w:val="000000"/>
        </w:rPr>
        <w:t>.</w:t>
      </w:r>
    </w:p>
    <w:p w14:paraId="78F18D7B" w14:textId="124970C8" w:rsidR="002557F1" w:rsidRPr="00F24D6C" w:rsidRDefault="002557F1" w:rsidP="002557F1">
      <w:pPr>
        <w:pStyle w:val="IEEEParagraph"/>
        <w:contextualSpacing/>
        <w:rPr>
          <w:color w:val="000000"/>
        </w:rPr>
      </w:pPr>
      <w:r w:rsidRPr="00F24D6C">
        <w:rPr>
          <w:color w:val="000000"/>
        </w:rPr>
        <w:t xml:space="preserve">Improving oral health through effective early treatment can prevent gum disease and improve quality of life in old age </w:t>
      </w:r>
      <w:r w:rsidRPr="00F24D6C">
        <w:rPr>
          <w:color w:val="000000"/>
        </w:rPr>
        <w:fldChar w:fldCharType="begin" w:fldLock="1"/>
      </w:r>
      <w:r w:rsidR="00262431">
        <w:rPr>
          <w:color w:val="000000"/>
        </w:rPr>
        <w:instrText>ADDIN CSL_CITATION {"citationItems":[{"id":"ITEM-1","itemData":{"DOI":"10.17214/gaziaot.777153","abstract":"Objective: Due to the increase in the prevalence of periodontal diseases, quality of life decreases with aging. The purpose of this study was to investigate the quality of life and periodontal disease in young adults and elderly individuals. Materials and Method: A total of 104 individuals, including 52 elderly patients with periodontal disease (Test group; 37 with gingivitis and 15 with periodontitis) (mean age 67.56 ± 3.12) and 52 young adult patients with periodontal disease (Control group; 37 with gingivitis and 15 with periodontitis) (mean age 27.88 ± 6.59), were included in the study. The patients’ quality of life was determined by the Oral Health Impact Profile-14 (OHIP-14) questionnaire. Clinical periodontal parameters (gingival index (GI), plaque index (PI), clinical attachment loss (CAL), and probing pocket depth (PPD)) were used in the evaluation. Results: In periodontitis, there was no difference in total OHIP scores between the groups (p&gt;0.05), whereas, in gingivitis, OHIP scores were higher in elderly patients (p&lt;0.05). While GI was significantly higher in elderly patients, PPD and CAL were significantly higher in young adult patients with periodontitis (p&lt;0.05). OHIP sub-groups’ scores for \"physical pain, psychological discomfort, and psychological disability\" were significantly higher in elderly patients (p&lt;0.05). Conclusion: Oral health-related quality of life was significantly lower in elderly patients with periodontal disease. While gingivitis had a significantly higher effect on the quality of life in elderly patients compared to younger patients, it was observed that there was no difference in both age groups in the presence of periodontitis. Improving oral health with atraumatic and effective treatment applications at early ages can prevent periodontal problems that may occur in advanced ages and increase the quality of life.Amaç: Yaşlanma ile periodontal hastalıkların prevalansındaki artış yaşam kalitesini düşürmektedir. Bu çalışmanın amacı, genç erişkinlerde ve yaşlı bireylerde yaşam kalitesini ve periodontal hastalık durumunu değerlendirmektir. Gereç ve Yöntem: Periodontal hastalığı olan 52 yaşlı birey (Test grubu: 37 gingivitisli ve 15 periodontitisli birey) (ortalama yaş 67.56 ± 3.12) ve periodontal hastalığı olan 52 genç birey (Kontrol grubu; 37 gingivitisli ve 15 periodontitisli birey) (ortalama yaş 27.88 ± 6.59) olmak üzere, toplam 104 birey çalışmaya dahil edildi. Hastaların yaşam kalitesi Ağız Sağlığı Etki Profili-14 (OHI…","author":[{"dropping-particle":"","family":"Gokturk","given":"Özge","non-dropping-particle":"","parse-names":false,"suffix":""},{"dropping-particle":"","family":"Yarkac","given":"Fatma Ucan","non-dropping-particle":"","parse-names":false,"suffix":""}],"container-title":"Acta Odontologica Turcica","id":"ITEM-1","issue":"2","issued":{"date-parts":[["2021"]]},"page":"28-34","title":"Oral health-related quality of life in elderly and young patients with periodontal diseases","type":"article-journal","volume":"38"},"uris":["http://www.mendeley.com/documents/?uuid=b014f816-d128-4153-a48b-88ac38a57e3b"]}],"mendeley":{"formattedCitation":"[9]","plainTextFormattedCitation":"[9]","previouslyFormattedCitation":"[9]"},"properties":{"noteIndex":0},"schema":"https://github.com/citation-style-language/schema/raw/master/csl-citation.json"}</w:instrText>
      </w:r>
      <w:r w:rsidRPr="00F24D6C">
        <w:rPr>
          <w:color w:val="000000"/>
        </w:rPr>
        <w:fldChar w:fldCharType="separate"/>
      </w:r>
      <w:r w:rsidRPr="00F24D6C">
        <w:rPr>
          <w:noProof/>
          <w:color w:val="000000"/>
        </w:rPr>
        <w:t>[9]</w:t>
      </w:r>
      <w:r w:rsidRPr="00F24D6C">
        <w:rPr>
          <w:color w:val="000000"/>
        </w:rPr>
        <w:fldChar w:fldCharType="end"/>
      </w:r>
      <w:r w:rsidRPr="00F24D6C">
        <w:rPr>
          <w:color w:val="000000"/>
        </w:rPr>
        <w:t xml:space="preserve">. The oral health status of the elderly will be better along with good knowledge, attitudes, and behavior towards maintaining oral hygiene </w:t>
      </w:r>
      <w:r w:rsidRPr="00F24D6C">
        <w:rPr>
          <w:color w:val="000000"/>
        </w:rPr>
        <w:fldChar w:fldCharType="begin" w:fldLock="1"/>
      </w:r>
      <w:r w:rsidR="00262431">
        <w:rPr>
          <w:color w:val="000000"/>
        </w:rPr>
        <w:instrText>ADDIN CSL_CITATION {"citationItems":[{"id":"ITEM-1","itemData":{"DOI":"10.31965/dtj.v4i1.725","ISSN":"2715-3770","abstract":"Gigi berjejal merupakan ideal bagi kuman untuk berkembang karena adanya bagian-bagian yang sulit dijangkau oleh sikat gigi. Sebagian masyarakat Indonesia kurang memperhatikan kondisi kesehatan gigi. Pemeliharaan kesehatan gigi dianggap tidak penting, padahal fungsi gigi sangat penting dan merupakan satu kesatuan dengan anggota tubuh lainnya. Untuk meningkatkan derajat kesehatan gigi yang optimal, terutama pada kesehatan gigi anak perlu diselenggarakan upaya kesehatan mulai dari kesehatan gigi di rumah maupun di sekolah. Tujuan penelitian ini yaitu untuk mengetahui jenis dan jumlah gigi yang berjejal dan untuk mengetahui perbandingan karang gigi antara gigi yang berjejal dan gigi yang tidak berjejal. Penelitian ini bersifat deskriptif dengan metode pemeriksaan langsung pada siswa/i. sampel yang diambil terdiri dari siswa Kelas IV dan V, yang berjumlah 30 orang yang dibagi 2 kelompok yaitu yang memiliki gigi berjejal sebanyak 15 orang dan sebanyak 15 orang yang giginya tidak berjejal. Hasil penelitian diperoleh jenis dan jumlah gigi yang berjejal dan persentase kriteria karang gigi. Jenis dan jumlah gigi yang berjejal diperoleh 27 gigi incisivus ke 1 dan ke 2 yang berjejal, 4 gigi caninus dan 1 gigi premolar. Persentase kriteria karang gigi pada gigi yang berjejal diperoleh kriteria baik sebanyak 0%, kriteria sedang sebesar 47%, dan kriteria buruk sebesar 53%. Sedangkan pada gigi yang tidak berjejal diperoleh kriteria baik sebanyak 20%, kriteria sedang sebanyak 54% dan kriteria buruk sebanyak 26%. Kesimpulan dari penelitian ini yaitu dilihat dari hasil pemeriksaan bahwa gigi yang paling banyak berjejal adalah gigi incisivus dan gigi caninus, salah satu penyebabnya karna gigi susu incisivus tanggal sebelum waktunya maka gigi sebelahnya bergeser miring ke tempat yang kosong sehingga ruangan untuk tumbuh gigi penggantinya akan mengalami penyempitan sehingga akan tumbuh diluar lengkungan gigi. Gigi yang berjejal salah satu faktor yang mempengaruhi terjadinya karang gigi.","author":[{"dropping-particle":"","family":"Aritonang","given":"Netty Jojor","non-dropping-particle":"","parse-names":false,"suffix":""},{"dropping-particle":"","family":"Siahaan","given":"Yenny Lisbeth","non-dropping-particle":"","parse-names":false,"suffix":""},{"dropping-particle":"","family":"Restuning","given":"Sekar","non-dropping-particle":"","parse-names":false,"suffix":""},{"dropping-particle":"","family":"Sirait","given":"Tiurmina","non-dropping-particle":"","parse-names":false,"suffix":""},{"dropping-particle":"","family":"Supriyanto","given":"Irwan","non-dropping-particle":"","parse-names":false,"suffix":""}],"container-title":"Dental Therapist Journal","id":"ITEM-1","issue":"1","issued":{"date-parts":[["2022"]]},"page":"10-15","title":"Gambaran Gigi Yang Berjejal Dan Gigi Tidak Berjejal Terhadap Karang Gigi Pada Siswa Kelas Iv Dan V Sekolah Dasar","type":"article-journal","volume":"4"},"uris":["http://www.mendeley.com/documents/?uuid=87002c31-7f1b-40b3-a314-94573806bbff"]}],"mendeley":{"formattedCitation":"[10]","plainTextFormattedCitation":"[10]","previouslyFormattedCitation":"[10]"},"properties":{"noteIndex":0},"schema":"https://github.com/citation-style-language/schema/raw/master/csl-citation.json"}</w:instrText>
      </w:r>
      <w:r w:rsidRPr="00F24D6C">
        <w:rPr>
          <w:color w:val="000000"/>
        </w:rPr>
        <w:fldChar w:fldCharType="separate"/>
      </w:r>
      <w:r w:rsidRPr="00F24D6C">
        <w:rPr>
          <w:noProof/>
          <w:color w:val="000000"/>
        </w:rPr>
        <w:t>[10]</w:t>
      </w:r>
      <w:r w:rsidRPr="00F24D6C">
        <w:rPr>
          <w:color w:val="000000"/>
        </w:rPr>
        <w:fldChar w:fldCharType="end"/>
      </w:r>
      <w:r w:rsidRPr="00F24D6C">
        <w:rPr>
          <w:color w:val="000000"/>
        </w:rPr>
        <w:t>. Preventive measures for oral and dental diseases such as promotive efforts need to be given to the elderly. The intended promotive effort is to increase knowledge about oral health in the elderly through counseling. This is because one of the important factors affecting oral health in the elderly is knowledge about oral health [4].</w:t>
      </w:r>
    </w:p>
    <w:p w14:paraId="65CD8F9B" w14:textId="5B319250" w:rsidR="002557F1" w:rsidRPr="00F24D6C" w:rsidRDefault="002557F1" w:rsidP="002557F1">
      <w:pPr>
        <w:pStyle w:val="IEEEParagraph"/>
        <w:contextualSpacing/>
        <w:rPr>
          <w:color w:val="000000"/>
        </w:rPr>
      </w:pPr>
      <w:r w:rsidRPr="00F24D6C">
        <w:rPr>
          <w:color w:val="000000"/>
        </w:rPr>
        <w:t xml:space="preserve">In elderly stroke patients who experience decreased mobility function, it can hinder daily activities so that stroke patients who have a level of dependence on Activity daily living (ADL) have an effect on oral hygiene care, because if oral hygiene care is carried out with the help of a companion, it will help patients to be </w:t>
      </w:r>
      <w:r w:rsidRPr="00F24D6C">
        <w:rPr>
          <w:color w:val="000000"/>
        </w:rPr>
        <w:t xml:space="preserve">able to perform oral hygiene care which will prevent other dental and oral diseases </w:t>
      </w:r>
      <w:r w:rsidRPr="00F24D6C">
        <w:rPr>
          <w:color w:val="000000"/>
        </w:rPr>
        <w:fldChar w:fldCharType="begin" w:fldLock="1"/>
      </w:r>
      <w:r w:rsidR="00262431">
        <w:rPr>
          <w:color w:val="000000"/>
        </w:rPr>
        <w:instrText>ADDIN CSL_CITATION {"citationItems":[{"id":"ITEM-1","itemData":{"author":[{"dropping-particle":"","family":"Cahyani","given":"Sekar","non-dropping-particle":"","parse-names":false,"suffix":""},{"dropping-particle":"","family":"Azali","given":"Panji","non-dropping-particle":"","parse-names":false,"suffix":""},{"dropping-particle":"","family":"Listrikawati","given":"Martini","non-dropping-particle":"","parse-names":false,"suffix":""}],"id":"ITEM-1","issued":{"date-parts":[["2023"]]},"page":"1-15","title":"Gambaran Kebersihan Mulut pada Pasien Stroke di Wilayah Kerja Puskesmas Teras Boyolali","type":"article-journal","volume":"88"},"uris":["http://www.mendeley.com/documents/?uuid=594a9b84-97cb-445f-810e-78214e1ae507"]}],"mendeley":{"formattedCitation":"[11]","plainTextFormattedCitation":"[11]","previouslyFormattedCitation":"[11]"},"properties":{"noteIndex":0},"schema":"https://github.com/citation-style-language/schema/raw/master/csl-citation.json"}</w:instrText>
      </w:r>
      <w:r w:rsidRPr="00F24D6C">
        <w:rPr>
          <w:color w:val="000000"/>
        </w:rPr>
        <w:fldChar w:fldCharType="separate"/>
      </w:r>
      <w:r w:rsidRPr="00F24D6C">
        <w:rPr>
          <w:noProof/>
          <w:color w:val="000000"/>
        </w:rPr>
        <w:t>[11]</w:t>
      </w:r>
      <w:r w:rsidRPr="00F24D6C">
        <w:rPr>
          <w:color w:val="000000"/>
        </w:rPr>
        <w:fldChar w:fldCharType="end"/>
      </w:r>
      <w:r w:rsidRPr="00F24D6C">
        <w:rPr>
          <w:color w:val="000000"/>
        </w:rPr>
        <w:t>.</w:t>
      </w:r>
    </w:p>
    <w:p w14:paraId="7ECAABDD" w14:textId="77777777" w:rsidR="003E1793" w:rsidRDefault="003E1793" w:rsidP="00A41C3B">
      <w:pPr>
        <w:tabs>
          <w:tab w:val="left" w:pos="3969"/>
          <w:tab w:val="left" w:pos="4253"/>
        </w:tabs>
        <w:spacing w:after="0" w:line="240" w:lineRule="auto"/>
        <w:jc w:val="center"/>
        <w:rPr>
          <w:rFonts w:ascii="Times New Roman" w:hAnsi="Times New Roman"/>
          <w:b/>
          <w:i/>
        </w:rPr>
      </w:pPr>
    </w:p>
    <w:p w14:paraId="13D68C03" w14:textId="77777777" w:rsidR="003E1793" w:rsidRPr="00096DD2" w:rsidRDefault="003E1793" w:rsidP="00A41C3B">
      <w:pPr>
        <w:tabs>
          <w:tab w:val="left" w:pos="3969"/>
          <w:tab w:val="left" w:pos="4253"/>
        </w:tabs>
        <w:spacing w:after="0" w:line="240" w:lineRule="auto"/>
        <w:jc w:val="center"/>
        <w:rPr>
          <w:rFonts w:ascii="Times New Roman" w:hAnsi="Times New Roman"/>
          <w:b/>
          <w:i/>
        </w:rPr>
      </w:pPr>
    </w:p>
    <w:p w14:paraId="3545062F" w14:textId="418BAE55" w:rsidR="003E1793" w:rsidRDefault="00096DD2" w:rsidP="00262431">
      <w:pPr>
        <w:tabs>
          <w:tab w:val="left" w:pos="3969"/>
          <w:tab w:val="left" w:pos="4253"/>
        </w:tabs>
        <w:spacing w:after="0" w:line="240" w:lineRule="auto"/>
        <w:jc w:val="center"/>
        <w:rPr>
          <w:rFonts w:ascii="Times New Roman" w:hAnsi="Times New Roman"/>
          <w:b/>
        </w:rPr>
      </w:pPr>
      <w:r w:rsidRPr="00096DD2">
        <w:rPr>
          <w:rFonts w:ascii="Times New Roman" w:hAnsi="Times New Roman"/>
          <w:b/>
        </w:rPr>
        <w:t>Conclusion</w:t>
      </w:r>
    </w:p>
    <w:p w14:paraId="26ABDA48" w14:textId="77777777" w:rsidR="00262431" w:rsidRPr="00262431" w:rsidRDefault="00262431" w:rsidP="00262431">
      <w:pPr>
        <w:tabs>
          <w:tab w:val="left" w:pos="3969"/>
          <w:tab w:val="left" w:pos="4253"/>
        </w:tabs>
        <w:spacing w:after="0" w:line="240" w:lineRule="auto"/>
        <w:jc w:val="center"/>
        <w:rPr>
          <w:rFonts w:ascii="Times New Roman" w:hAnsi="Times New Roman"/>
          <w:b/>
        </w:rPr>
      </w:pPr>
    </w:p>
    <w:p w14:paraId="48893FD7" w14:textId="77777777" w:rsidR="002557F1" w:rsidRPr="00F24D6C" w:rsidRDefault="002557F1" w:rsidP="002557F1">
      <w:pPr>
        <w:pStyle w:val="IEEEParagraph"/>
        <w:contextualSpacing/>
        <w:rPr>
          <w:color w:val="000000"/>
          <w:lang w:val="en-US"/>
        </w:rPr>
      </w:pPr>
      <w:r w:rsidRPr="00F24D6C">
        <w:rPr>
          <w:color w:val="000000"/>
          <w:lang w:val="en-US"/>
        </w:rPr>
        <w:t>The cause of the problem of low dental health status in the elderly is due to low knowledge of how to maintain oral health and oral health, causing a decrease in oral cavity function in the form of chewing ability and swallowing ability. With the LIPSIAS innovation, there was an increase in the knowledge of the elderly from the criteria of 4.07 to 8.00, this proves that the LIPSIAS application is effective in increasing the knowledge of stroke elderly people about how to maintain oral health accompanied by a companion.</w:t>
      </w:r>
    </w:p>
    <w:p w14:paraId="5462EE46" w14:textId="77777777" w:rsidR="002557F1" w:rsidRPr="00F24D6C" w:rsidRDefault="002557F1" w:rsidP="002557F1">
      <w:pPr>
        <w:pStyle w:val="IEEEParagraph"/>
        <w:contextualSpacing/>
        <w:rPr>
          <w:color w:val="000000"/>
          <w:lang w:val="en-US"/>
        </w:rPr>
      </w:pPr>
      <w:r w:rsidRPr="00F24D6C">
        <w:rPr>
          <w:color w:val="000000"/>
          <w:lang w:val="en-US"/>
        </w:rPr>
        <w:t>For policy makers, the Potroyudan Elderly Social Service Home is expected to be able to utilize the LIPSIAS application as a guide in conducting oral health promotion in stroke elderly.</w:t>
      </w:r>
    </w:p>
    <w:p w14:paraId="26E6E758" w14:textId="77777777" w:rsidR="0023719E" w:rsidRDefault="0023719E" w:rsidP="00096DD2">
      <w:pPr>
        <w:pStyle w:val="ListParagraph"/>
        <w:tabs>
          <w:tab w:val="left" w:pos="3969"/>
          <w:tab w:val="left" w:pos="4253"/>
        </w:tabs>
        <w:spacing w:after="0" w:line="240" w:lineRule="auto"/>
        <w:ind w:left="0" w:firstLine="284"/>
        <w:jc w:val="both"/>
        <w:rPr>
          <w:rFonts w:ascii="Times New Roman" w:hAnsi="Times New Roman"/>
          <w:lang w:val="en-US"/>
        </w:rPr>
      </w:pPr>
    </w:p>
    <w:p w14:paraId="26E6E75E" w14:textId="77777777" w:rsidR="0023719E" w:rsidRPr="0023719E" w:rsidRDefault="0023719E" w:rsidP="0023719E">
      <w:pPr>
        <w:tabs>
          <w:tab w:val="left" w:pos="3969"/>
          <w:tab w:val="left" w:pos="4253"/>
        </w:tabs>
        <w:spacing w:after="0" w:line="240" w:lineRule="auto"/>
        <w:jc w:val="center"/>
        <w:rPr>
          <w:rFonts w:ascii="Times New Roman" w:hAnsi="Times New Roman"/>
          <w:b/>
        </w:rPr>
      </w:pPr>
      <w:r w:rsidRPr="0023719E">
        <w:rPr>
          <w:rFonts w:ascii="Times New Roman" w:hAnsi="Times New Roman"/>
          <w:b/>
        </w:rPr>
        <w:t>References</w:t>
      </w:r>
    </w:p>
    <w:p w14:paraId="26E6E75F" w14:textId="77777777" w:rsidR="0023719E" w:rsidRPr="0023719E" w:rsidRDefault="0023719E" w:rsidP="0023719E">
      <w:pPr>
        <w:tabs>
          <w:tab w:val="left" w:pos="3969"/>
          <w:tab w:val="left" w:pos="4253"/>
        </w:tabs>
        <w:spacing w:after="0" w:line="240" w:lineRule="auto"/>
        <w:jc w:val="center"/>
        <w:rPr>
          <w:rFonts w:ascii="Times New Roman" w:hAnsi="Times New Roman"/>
          <w:b/>
          <w:i/>
        </w:rPr>
      </w:pPr>
      <w:r w:rsidRPr="0023719E">
        <w:rPr>
          <w:rFonts w:ascii="Times New Roman" w:hAnsi="Times New Roman"/>
          <w:b/>
          <w:i/>
        </w:rPr>
        <w:t>(Daftar Pustaka)</w:t>
      </w:r>
    </w:p>
    <w:p w14:paraId="26E6E768" w14:textId="77777777" w:rsidR="00E177DC" w:rsidRDefault="00E177DC" w:rsidP="00577B93">
      <w:pPr>
        <w:spacing w:after="0" w:line="240" w:lineRule="auto"/>
        <w:jc w:val="both"/>
        <w:rPr>
          <w:rFonts w:ascii="Times New Roman" w:hAnsi="Times New Roman" w:cs="Times New Roman"/>
        </w:rPr>
      </w:pPr>
    </w:p>
    <w:p w14:paraId="40CF9BB9" w14:textId="1075A472" w:rsidR="00262431" w:rsidRPr="00262431" w:rsidRDefault="003E1793" w:rsidP="00262431">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262431" w:rsidRPr="00262431">
        <w:rPr>
          <w:rFonts w:ascii="Times New Roman" w:hAnsi="Times New Roman" w:cs="Times New Roman"/>
          <w:noProof/>
          <w:szCs w:val="24"/>
        </w:rPr>
        <w:t>[1]</w:t>
      </w:r>
      <w:r w:rsidR="00262431" w:rsidRPr="00262431">
        <w:rPr>
          <w:rFonts w:ascii="Times New Roman" w:hAnsi="Times New Roman" w:cs="Times New Roman"/>
          <w:noProof/>
          <w:szCs w:val="24"/>
        </w:rPr>
        <w:tab/>
        <w:t xml:space="preserve">S. D. Krisna Triyono and Y. K. Herdiyanto, “Konsep Sehat Dan Sakit Pada Individu Dengan Urolithiasis (Kencing Batu) Di Kabupaten Klungkung, Bali,” </w:t>
      </w:r>
      <w:r w:rsidR="00262431" w:rsidRPr="00262431">
        <w:rPr>
          <w:rFonts w:ascii="Times New Roman" w:hAnsi="Times New Roman" w:cs="Times New Roman"/>
          <w:i/>
          <w:iCs/>
          <w:noProof/>
          <w:szCs w:val="24"/>
        </w:rPr>
        <w:t>J. Psikol. Udayana</w:t>
      </w:r>
      <w:r w:rsidR="00262431" w:rsidRPr="00262431">
        <w:rPr>
          <w:rFonts w:ascii="Times New Roman" w:hAnsi="Times New Roman" w:cs="Times New Roman"/>
          <w:noProof/>
          <w:szCs w:val="24"/>
        </w:rPr>
        <w:t>, vol. 4, no. 02, p. 263, 2018, doi: 10.24843/jpu.2017.v04.i02.p04.</w:t>
      </w:r>
    </w:p>
    <w:p w14:paraId="7795DD19" w14:textId="77777777" w:rsidR="00262431" w:rsidRPr="00262431" w:rsidRDefault="00262431" w:rsidP="0026243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62431">
        <w:rPr>
          <w:rFonts w:ascii="Times New Roman" w:hAnsi="Times New Roman" w:cs="Times New Roman"/>
          <w:noProof/>
          <w:szCs w:val="24"/>
        </w:rPr>
        <w:t>[2]</w:t>
      </w:r>
      <w:r w:rsidRPr="00262431">
        <w:rPr>
          <w:rFonts w:ascii="Times New Roman" w:hAnsi="Times New Roman" w:cs="Times New Roman"/>
          <w:noProof/>
          <w:szCs w:val="24"/>
        </w:rPr>
        <w:tab/>
        <w:t xml:space="preserve">D. R. Prima, A. A. Safirha, S. Nuraini, and N. Maghfiroh, “Pemenuhan Kebutuhan Lansia Terhadap Kualitas Hidup Lansia Di Kelurahan Grogol Jakarta Barat,” </w:t>
      </w:r>
      <w:r w:rsidRPr="00262431">
        <w:rPr>
          <w:rFonts w:ascii="Times New Roman" w:hAnsi="Times New Roman" w:cs="Times New Roman"/>
          <w:i/>
          <w:iCs/>
          <w:noProof/>
          <w:szCs w:val="24"/>
        </w:rPr>
        <w:t>J. Kebidanan</w:t>
      </w:r>
      <w:r w:rsidRPr="00262431">
        <w:rPr>
          <w:rFonts w:ascii="Times New Roman" w:hAnsi="Times New Roman" w:cs="Times New Roman"/>
          <w:noProof/>
          <w:szCs w:val="24"/>
        </w:rPr>
        <w:t>, vol. 8, no. 1, pp. 1–7, 2019, doi: 10.35890/jkdh.v8i1.115.</w:t>
      </w:r>
    </w:p>
    <w:p w14:paraId="4B500091" w14:textId="77777777" w:rsidR="00262431" w:rsidRPr="00262431" w:rsidRDefault="00262431" w:rsidP="0026243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62431">
        <w:rPr>
          <w:rFonts w:ascii="Times New Roman" w:hAnsi="Times New Roman" w:cs="Times New Roman"/>
          <w:noProof/>
          <w:szCs w:val="24"/>
        </w:rPr>
        <w:t>[3]</w:t>
      </w:r>
      <w:r w:rsidRPr="00262431">
        <w:rPr>
          <w:rFonts w:ascii="Times New Roman" w:hAnsi="Times New Roman" w:cs="Times New Roman"/>
          <w:noProof/>
          <w:szCs w:val="24"/>
        </w:rPr>
        <w:tab/>
        <w:t xml:space="preserve">N. E. Satuti, L. Aidannahar, Jumiati, Sukini, and N. Chibtiyah, “Promosi Kesehatan Gigi dan Mulut Lansia Melalui Aplikasi Asuhan Kesehatan Gigi dan Mulut,” </w:t>
      </w:r>
      <w:r w:rsidRPr="00262431">
        <w:rPr>
          <w:rFonts w:ascii="Times New Roman" w:hAnsi="Times New Roman" w:cs="Times New Roman"/>
          <w:i/>
          <w:iCs/>
          <w:noProof/>
          <w:szCs w:val="24"/>
        </w:rPr>
        <w:t>J. Pengabdi. Masy. Kesehat. Gigi</w:t>
      </w:r>
      <w:r w:rsidRPr="00262431">
        <w:rPr>
          <w:rFonts w:ascii="Times New Roman" w:hAnsi="Times New Roman" w:cs="Times New Roman"/>
          <w:noProof/>
          <w:szCs w:val="24"/>
        </w:rPr>
        <w:t>, vol. 1, no. April, pp. 14–16, 2023.</w:t>
      </w:r>
    </w:p>
    <w:p w14:paraId="57329783" w14:textId="77777777" w:rsidR="00262431" w:rsidRPr="00262431" w:rsidRDefault="00262431" w:rsidP="0026243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62431">
        <w:rPr>
          <w:rFonts w:ascii="Times New Roman" w:hAnsi="Times New Roman" w:cs="Times New Roman"/>
          <w:noProof/>
          <w:szCs w:val="24"/>
        </w:rPr>
        <w:t>[4]</w:t>
      </w:r>
      <w:r w:rsidRPr="00262431">
        <w:rPr>
          <w:rFonts w:ascii="Times New Roman" w:hAnsi="Times New Roman" w:cs="Times New Roman"/>
          <w:noProof/>
          <w:szCs w:val="24"/>
        </w:rPr>
        <w:tab/>
        <w:t xml:space="preserve">M. Sari and N. F. Jannah, “Gambaran Pengetahuan Kesehatan Gigi Mulut, Perilaku Kesehatan Gigi Mulut, dan Status Gigi Lansia di Panti Wreda Surakarta,” </w:t>
      </w:r>
      <w:r w:rsidRPr="00262431">
        <w:rPr>
          <w:rFonts w:ascii="Times New Roman" w:hAnsi="Times New Roman" w:cs="Times New Roman"/>
          <w:i/>
          <w:iCs/>
          <w:noProof/>
          <w:szCs w:val="24"/>
        </w:rPr>
        <w:t>J. Surya Masy.</w:t>
      </w:r>
      <w:r w:rsidRPr="00262431">
        <w:rPr>
          <w:rFonts w:ascii="Times New Roman" w:hAnsi="Times New Roman" w:cs="Times New Roman"/>
          <w:noProof/>
          <w:szCs w:val="24"/>
        </w:rPr>
        <w:t>, vol. 3, no. 2, p. 86, 2021, doi: 10.26714/jsm.3.2.2021.86-94.</w:t>
      </w:r>
    </w:p>
    <w:p w14:paraId="4AEB5874" w14:textId="77777777" w:rsidR="00262431" w:rsidRPr="00262431" w:rsidRDefault="00262431" w:rsidP="0026243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62431">
        <w:rPr>
          <w:rFonts w:ascii="Times New Roman" w:hAnsi="Times New Roman" w:cs="Times New Roman"/>
          <w:noProof/>
          <w:szCs w:val="24"/>
        </w:rPr>
        <w:t>[5]</w:t>
      </w:r>
      <w:r w:rsidRPr="00262431">
        <w:rPr>
          <w:rFonts w:ascii="Times New Roman" w:hAnsi="Times New Roman" w:cs="Times New Roman"/>
          <w:noProof/>
          <w:szCs w:val="24"/>
        </w:rPr>
        <w:tab/>
        <w:t xml:space="preserve">D. I. Prayogo, A. Widyasari, N. Azizah, and F. Munaya, “Penyuluhan Kesehatan tentang Perilaku Hidup Bersih,” </w:t>
      </w:r>
      <w:r w:rsidRPr="00262431">
        <w:rPr>
          <w:rFonts w:ascii="Times New Roman" w:hAnsi="Times New Roman" w:cs="Times New Roman"/>
          <w:i/>
          <w:iCs/>
          <w:noProof/>
          <w:szCs w:val="24"/>
        </w:rPr>
        <w:t>Semin. Nas. Pengabdi. Masy. LP UMJ</w:t>
      </w:r>
      <w:r w:rsidRPr="00262431">
        <w:rPr>
          <w:rFonts w:ascii="Times New Roman" w:hAnsi="Times New Roman" w:cs="Times New Roman"/>
          <w:noProof/>
          <w:szCs w:val="24"/>
        </w:rPr>
        <w:t>, pp. 1–7, 2022, [Online]. Available: https://jurnal.umj.ac.id/index.php/semnaskat/article/download/14517/7598</w:t>
      </w:r>
    </w:p>
    <w:p w14:paraId="41AD2824" w14:textId="77777777" w:rsidR="00262431" w:rsidRPr="00262431" w:rsidRDefault="00262431" w:rsidP="0026243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62431">
        <w:rPr>
          <w:rFonts w:ascii="Times New Roman" w:hAnsi="Times New Roman" w:cs="Times New Roman"/>
          <w:noProof/>
          <w:szCs w:val="24"/>
        </w:rPr>
        <w:t>[6]</w:t>
      </w:r>
      <w:r w:rsidRPr="00262431">
        <w:rPr>
          <w:rFonts w:ascii="Times New Roman" w:hAnsi="Times New Roman" w:cs="Times New Roman"/>
          <w:noProof/>
          <w:szCs w:val="24"/>
        </w:rPr>
        <w:tab/>
        <w:t xml:space="preserve">A. P. L. Girsang, R. Sulistyowati, and N. P. </w:t>
      </w:r>
      <w:r w:rsidRPr="00262431">
        <w:rPr>
          <w:rFonts w:ascii="Times New Roman" w:hAnsi="Times New Roman" w:cs="Times New Roman"/>
          <w:noProof/>
          <w:szCs w:val="24"/>
        </w:rPr>
        <w:lastRenderedPageBreak/>
        <w:t xml:space="preserve">Sulistyowati, </w:t>
      </w:r>
      <w:r w:rsidRPr="00262431">
        <w:rPr>
          <w:rFonts w:ascii="Times New Roman" w:hAnsi="Times New Roman" w:cs="Times New Roman"/>
          <w:i/>
          <w:iCs/>
          <w:noProof/>
          <w:szCs w:val="24"/>
        </w:rPr>
        <w:t>Statistik Penduduk Lanjut Usia 2022</w:t>
      </w:r>
      <w:r w:rsidRPr="00262431">
        <w:rPr>
          <w:rFonts w:ascii="Times New Roman" w:hAnsi="Times New Roman" w:cs="Times New Roman"/>
          <w:noProof/>
          <w:szCs w:val="24"/>
        </w:rPr>
        <w:t>. Jakarta: Badan Pusat Statistik, 2022.</w:t>
      </w:r>
    </w:p>
    <w:p w14:paraId="2AE9CA4A" w14:textId="77777777" w:rsidR="00262431" w:rsidRPr="00262431" w:rsidRDefault="00262431" w:rsidP="0026243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62431">
        <w:rPr>
          <w:rFonts w:ascii="Times New Roman" w:hAnsi="Times New Roman" w:cs="Times New Roman"/>
          <w:noProof/>
          <w:szCs w:val="24"/>
        </w:rPr>
        <w:t>[7]</w:t>
      </w:r>
      <w:r w:rsidRPr="00262431">
        <w:rPr>
          <w:rFonts w:ascii="Times New Roman" w:hAnsi="Times New Roman" w:cs="Times New Roman"/>
          <w:noProof/>
          <w:szCs w:val="24"/>
        </w:rPr>
        <w:tab/>
        <w:t xml:space="preserve">C. López-Otín, M. A. Blasco, L. Partridge, M. Serrano, and G. Kroemer, “The Hallmarks of Aging,” </w:t>
      </w:r>
      <w:r w:rsidRPr="00262431">
        <w:rPr>
          <w:rFonts w:ascii="Times New Roman" w:hAnsi="Times New Roman" w:cs="Times New Roman"/>
          <w:i/>
          <w:iCs/>
          <w:noProof/>
          <w:szCs w:val="24"/>
        </w:rPr>
        <w:t>Cell</w:t>
      </w:r>
      <w:r w:rsidRPr="00262431">
        <w:rPr>
          <w:rFonts w:ascii="Times New Roman" w:hAnsi="Times New Roman" w:cs="Times New Roman"/>
          <w:noProof/>
          <w:szCs w:val="24"/>
        </w:rPr>
        <w:t>, vol. 153, no. 6, pp. 1194–1217, 2013, doi: 10.1016/j.cell.2013.05.039.</w:t>
      </w:r>
    </w:p>
    <w:p w14:paraId="66025139" w14:textId="77777777" w:rsidR="00262431" w:rsidRPr="00262431" w:rsidRDefault="00262431" w:rsidP="0026243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62431">
        <w:rPr>
          <w:rFonts w:ascii="Times New Roman" w:hAnsi="Times New Roman" w:cs="Times New Roman"/>
          <w:noProof/>
          <w:szCs w:val="24"/>
        </w:rPr>
        <w:t>[8]</w:t>
      </w:r>
      <w:r w:rsidRPr="00262431">
        <w:rPr>
          <w:rFonts w:ascii="Times New Roman" w:hAnsi="Times New Roman" w:cs="Times New Roman"/>
          <w:noProof/>
          <w:szCs w:val="24"/>
        </w:rPr>
        <w:tab/>
        <w:t xml:space="preserve">J. A. Gil-Montoya, A. L. F. de Mello, R. Barrios, M. A. Gonzalez-Moles, and M. Bravo, “Oral health in the elderly patient and its impact on general well-being: A nonsystematic review,” </w:t>
      </w:r>
      <w:r w:rsidRPr="00262431">
        <w:rPr>
          <w:rFonts w:ascii="Times New Roman" w:hAnsi="Times New Roman" w:cs="Times New Roman"/>
          <w:i/>
          <w:iCs/>
          <w:noProof/>
          <w:szCs w:val="24"/>
        </w:rPr>
        <w:t>Clin. Interv. Aging</w:t>
      </w:r>
      <w:r w:rsidRPr="00262431">
        <w:rPr>
          <w:rFonts w:ascii="Times New Roman" w:hAnsi="Times New Roman" w:cs="Times New Roman"/>
          <w:noProof/>
          <w:szCs w:val="24"/>
        </w:rPr>
        <w:t>, vol. 10, pp. 461–467, 2015, doi: 10.2147/CIA.S54630.</w:t>
      </w:r>
    </w:p>
    <w:p w14:paraId="01F2D778" w14:textId="77777777" w:rsidR="00262431" w:rsidRPr="00262431" w:rsidRDefault="00262431" w:rsidP="0026243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62431">
        <w:rPr>
          <w:rFonts w:ascii="Times New Roman" w:hAnsi="Times New Roman" w:cs="Times New Roman"/>
          <w:noProof/>
          <w:szCs w:val="24"/>
        </w:rPr>
        <w:t>[9]</w:t>
      </w:r>
      <w:r w:rsidRPr="00262431">
        <w:rPr>
          <w:rFonts w:ascii="Times New Roman" w:hAnsi="Times New Roman" w:cs="Times New Roman"/>
          <w:noProof/>
          <w:szCs w:val="24"/>
        </w:rPr>
        <w:tab/>
        <w:t xml:space="preserve">Ö. Gokturk and F. U. Yarkac, “Oral health-related quality of life in elderly and young patients with periodontal diseases,” </w:t>
      </w:r>
      <w:r w:rsidRPr="00262431">
        <w:rPr>
          <w:rFonts w:ascii="Times New Roman" w:hAnsi="Times New Roman" w:cs="Times New Roman"/>
          <w:i/>
          <w:iCs/>
          <w:noProof/>
          <w:szCs w:val="24"/>
        </w:rPr>
        <w:t>Acta Odontol. Turc.</w:t>
      </w:r>
      <w:r w:rsidRPr="00262431">
        <w:rPr>
          <w:rFonts w:ascii="Times New Roman" w:hAnsi="Times New Roman" w:cs="Times New Roman"/>
          <w:noProof/>
          <w:szCs w:val="24"/>
        </w:rPr>
        <w:t>, vol. 38, no. 2, pp. 28–34, 2021, doi: 10.17214/gaziaot.777153.</w:t>
      </w:r>
    </w:p>
    <w:p w14:paraId="5C40CF50" w14:textId="77777777" w:rsidR="00262431" w:rsidRPr="00262431" w:rsidRDefault="00262431" w:rsidP="00262431">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262431">
        <w:rPr>
          <w:rFonts w:ascii="Times New Roman" w:hAnsi="Times New Roman" w:cs="Times New Roman"/>
          <w:noProof/>
          <w:szCs w:val="24"/>
        </w:rPr>
        <w:t>[10]</w:t>
      </w:r>
      <w:r w:rsidRPr="00262431">
        <w:rPr>
          <w:rFonts w:ascii="Times New Roman" w:hAnsi="Times New Roman" w:cs="Times New Roman"/>
          <w:noProof/>
          <w:szCs w:val="24"/>
        </w:rPr>
        <w:tab/>
        <w:t xml:space="preserve">N. J. Aritonang, Y. L. Siahaan, S. Restuning, T. Sirait, and I. Supriyanto, “Gambaran Gigi Yang Berjejal Dan Gigi Tidak Berjejal Terhadap Karang Gigi Pada Siswa Kelas Iv Dan V Sekolah Dasar,” </w:t>
      </w:r>
      <w:r w:rsidRPr="00262431">
        <w:rPr>
          <w:rFonts w:ascii="Times New Roman" w:hAnsi="Times New Roman" w:cs="Times New Roman"/>
          <w:i/>
          <w:iCs/>
          <w:noProof/>
          <w:szCs w:val="24"/>
        </w:rPr>
        <w:t>Dent. Ther. J.</w:t>
      </w:r>
      <w:r w:rsidRPr="00262431">
        <w:rPr>
          <w:rFonts w:ascii="Times New Roman" w:hAnsi="Times New Roman" w:cs="Times New Roman"/>
          <w:noProof/>
          <w:szCs w:val="24"/>
        </w:rPr>
        <w:t>, vol. 4, no. 1, pp. 10–15, 2022, doi: 10.31965/dtj.v4i1.725.</w:t>
      </w:r>
    </w:p>
    <w:p w14:paraId="3D5E1D29" w14:textId="77777777" w:rsidR="00262431" w:rsidRPr="00262431" w:rsidRDefault="00262431" w:rsidP="00262431">
      <w:pPr>
        <w:widowControl w:val="0"/>
        <w:autoSpaceDE w:val="0"/>
        <w:autoSpaceDN w:val="0"/>
        <w:adjustRightInd w:val="0"/>
        <w:spacing w:after="0" w:line="240" w:lineRule="auto"/>
        <w:ind w:left="640" w:hanging="640"/>
        <w:jc w:val="both"/>
        <w:rPr>
          <w:rFonts w:ascii="Times New Roman" w:hAnsi="Times New Roman" w:cs="Times New Roman"/>
          <w:noProof/>
        </w:rPr>
      </w:pPr>
      <w:r w:rsidRPr="00262431">
        <w:rPr>
          <w:rFonts w:ascii="Times New Roman" w:hAnsi="Times New Roman" w:cs="Times New Roman"/>
          <w:noProof/>
          <w:szCs w:val="24"/>
        </w:rPr>
        <w:t>[11]</w:t>
      </w:r>
      <w:r w:rsidRPr="00262431">
        <w:rPr>
          <w:rFonts w:ascii="Times New Roman" w:hAnsi="Times New Roman" w:cs="Times New Roman"/>
          <w:noProof/>
          <w:szCs w:val="24"/>
        </w:rPr>
        <w:tab/>
        <w:t>S. Cahyani, P. Azali, and M. Listrikawati, “Gambaran Kebersihan Mulut pada Pasien Stroke di Wilayah Kerja Puskesmas Teras Boyolali,” vol. 88, pp. 1–15, 2023.</w:t>
      </w:r>
    </w:p>
    <w:p w14:paraId="26E6E769" w14:textId="38FEF431" w:rsidR="00FE026A" w:rsidRPr="00A5409B" w:rsidRDefault="003E1793" w:rsidP="00262431">
      <w:pPr>
        <w:spacing w:after="0"/>
        <w:jc w:val="both"/>
        <w:rPr>
          <w:rFonts w:ascii="Times New Roman" w:hAnsi="Times New Roman" w:cs="Times New Roman"/>
        </w:rPr>
      </w:pPr>
      <w:r>
        <w:rPr>
          <w:rFonts w:ascii="Times New Roman" w:hAnsi="Times New Roman" w:cs="Times New Roman"/>
        </w:rPr>
        <w:fldChar w:fldCharType="end"/>
      </w:r>
    </w:p>
    <w:sectPr w:rsidR="00FE026A" w:rsidRPr="00A5409B" w:rsidSect="0044263B">
      <w:type w:val="continuous"/>
      <w:pgSz w:w="11909" w:h="16834" w:code="9"/>
      <w:pgMar w:top="1701" w:right="1134" w:bottom="1134" w:left="1418" w:header="1418" w:footer="720" w:gutter="0"/>
      <w:pgNumType w:start="1"/>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5E7F7" w14:textId="77777777" w:rsidR="00D341E7" w:rsidRDefault="00D341E7" w:rsidP="00BD4F35">
      <w:pPr>
        <w:spacing w:after="0" w:line="240" w:lineRule="auto"/>
      </w:pPr>
      <w:r>
        <w:separator/>
      </w:r>
    </w:p>
  </w:endnote>
  <w:endnote w:type="continuationSeparator" w:id="0">
    <w:p w14:paraId="7735354B" w14:textId="77777777" w:rsidR="00D341E7" w:rsidRDefault="00D341E7" w:rsidP="00BD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60788977"/>
      <w:docPartObj>
        <w:docPartGallery w:val="Page Numbers (Bottom of Page)"/>
        <w:docPartUnique/>
      </w:docPartObj>
    </w:sdtPr>
    <w:sdtEndPr/>
    <w:sdtContent>
      <w:p w14:paraId="26E6E76F" w14:textId="77777777" w:rsidR="00FE026A" w:rsidRPr="00603D32" w:rsidRDefault="00D341E7">
        <w:pPr>
          <w:pStyle w:val="Footer"/>
          <w:jc w:val="right"/>
          <w:rPr>
            <w:rFonts w:ascii="Times New Roman" w:hAnsi="Times New Roman" w:cs="Times New Roman"/>
          </w:rPr>
        </w:pPr>
        <w:r>
          <w:rPr>
            <w:rFonts w:ascii="Times New Roman" w:hAnsi="Times New Roman" w:cs="Times New Roman"/>
            <w:noProof/>
            <w:lang w:eastAsia="zh-TW"/>
          </w:rPr>
          <w:pict w14:anchorId="26E6E771">
            <v:shapetype id="_x0000_t202" coordsize="21600,21600" o:spt="202" path="m,l,21600r21600,l21600,xe">
              <v:stroke joinstyle="miter"/>
              <v:path gradientshapeok="t" o:connecttype="rect"/>
            </v:shapetype>
            <v:shape id="_x0000_s2049" type="#_x0000_t202" style="position:absolute;left:0;text-align:left;margin-left:-7.8pt;margin-top:6.75pt;width:353.6pt;height:21.45pt;z-index:251660288;mso-position-horizontal-relative:text;mso-position-vertical-relative:text;mso-width-relative:margin;mso-height-relative:margin" strokecolor="white [3212]">
              <v:textbox style="mso-next-textbox:#_x0000_s2049">
                <w:txbxContent>
                  <w:p w14:paraId="26E6E772" w14:textId="77777777" w:rsidR="00FE026A" w:rsidRPr="00603D32" w:rsidRDefault="00FE026A" w:rsidP="00A964A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Copyright @2019 Authors, JURNAL </w:t>
                    </w:r>
                    <w:r w:rsidR="005415CD">
                      <w:rPr>
                        <w:rFonts w:ascii="Times New Roman" w:hAnsi="Times New Roman" w:cs="Times New Roman"/>
                        <w:sz w:val="18"/>
                        <w:szCs w:val="18"/>
                      </w:rPr>
                      <w:t>KESEHATAN GIGI, e-ISSN 2621-3664</w:t>
                    </w:r>
                    <w:r>
                      <w:rPr>
                        <w:rFonts w:ascii="Times New Roman" w:hAnsi="Times New Roman" w:cs="Times New Roman"/>
                        <w:sz w:val="18"/>
                        <w:szCs w:val="18"/>
                      </w:rPr>
                      <w:t xml:space="preserve">, p-ISSN </w:t>
                    </w:r>
                    <w:r w:rsidR="005415CD">
                      <w:rPr>
                        <w:rFonts w:ascii="Times New Roman" w:hAnsi="Times New Roman" w:cs="Times New Roman"/>
                        <w:sz w:val="18"/>
                        <w:szCs w:val="18"/>
                      </w:rPr>
                      <w:t>2407-0866</w:t>
                    </w:r>
                  </w:p>
                </w:txbxContent>
              </v:textbox>
            </v:shape>
          </w:pict>
        </w:r>
        <w:r w:rsidR="00B33EAC" w:rsidRPr="00603D32">
          <w:rPr>
            <w:rFonts w:ascii="Times New Roman" w:hAnsi="Times New Roman" w:cs="Times New Roman"/>
          </w:rPr>
          <w:fldChar w:fldCharType="begin"/>
        </w:r>
        <w:r w:rsidR="00FE026A" w:rsidRPr="00603D32">
          <w:rPr>
            <w:rFonts w:ascii="Times New Roman" w:hAnsi="Times New Roman" w:cs="Times New Roman"/>
          </w:rPr>
          <w:instrText xml:space="preserve"> PAGE   \* MERGEFORMAT </w:instrText>
        </w:r>
        <w:r w:rsidR="00B33EAC" w:rsidRPr="00603D32">
          <w:rPr>
            <w:rFonts w:ascii="Times New Roman" w:hAnsi="Times New Roman" w:cs="Times New Roman"/>
          </w:rPr>
          <w:fldChar w:fldCharType="separate"/>
        </w:r>
        <w:r w:rsidR="005415CD">
          <w:rPr>
            <w:rFonts w:ascii="Times New Roman" w:hAnsi="Times New Roman" w:cs="Times New Roman"/>
            <w:noProof/>
          </w:rPr>
          <w:t>2</w:t>
        </w:r>
        <w:r w:rsidR="00B33EAC" w:rsidRPr="00603D32">
          <w:rPr>
            <w:rFonts w:ascii="Times New Roman" w:hAnsi="Times New Roman" w:cs="Times New Roman"/>
          </w:rPr>
          <w:fldChar w:fldCharType="end"/>
        </w:r>
      </w:p>
    </w:sdtContent>
  </w:sdt>
  <w:p w14:paraId="26E6E770" w14:textId="77777777" w:rsidR="00FE026A" w:rsidRPr="00603D32" w:rsidRDefault="00FE026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72C94" w14:textId="77777777" w:rsidR="00D341E7" w:rsidRDefault="00D341E7" w:rsidP="00BD4F35">
      <w:pPr>
        <w:spacing w:after="0" w:line="240" w:lineRule="auto"/>
      </w:pPr>
      <w:r>
        <w:separator/>
      </w:r>
    </w:p>
  </w:footnote>
  <w:footnote w:type="continuationSeparator" w:id="0">
    <w:p w14:paraId="21D0963D" w14:textId="77777777" w:rsidR="00D341E7" w:rsidRDefault="00D341E7" w:rsidP="00BD4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E76E" w14:textId="77777777" w:rsidR="00FE026A" w:rsidRPr="00BD4F35" w:rsidRDefault="00FE026A" w:rsidP="00BD4F35">
    <w:pPr>
      <w:pStyle w:val="Header"/>
    </w:pPr>
    <w:r w:rsidRPr="00BD4F35">
      <w:rPr>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15452AA9"/>
    <w:multiLevelType w:val="hybridMultilevel"/>
    <w:tmpl w:val="32A6861C"/>
    <w:lvl w:ilvl="0" w:tplc="498CDCA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C5B71"/>
    <w:multiLevelType w:val="hybridMultilevel"/>
    <w:tmpl w:val="FBD489B0"/>
    <w:lvl w:ilvl="0" w:tplc="54FCE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761CF"/>
    <w:multiLevelType w:val="hybridMultilevel"/>
    <w:tmpl w:val="83CE09D6"/>
    <w:lvl w:ilvl="0" w:tplc="BC605C54">
      <w:start w:val="1"/>
      <w:numFmt w:val="upperLetter"/>
      <w:lvlText w:val="%1."/>
      <w:lvlJc w:val="left"/>
      <w:pPr>
        <w:ind w:left="360" w:hanging="360"/>
      </w:pPr>
      <w:rPr>
        <w:i/>
        <w:i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546C02D5"/>
    <w:multiLevelType w:val="hybridMultilevel"/>
    <w:tmpl w:val="FBD489B0"/>
    <w:lvl w:ilvl="0" w:tplc="54FCE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410CB4"/>
    <w:multiLevelType w:val="hybridMultilevel"/>
    <w:tmpl w:val="FBD489B0"/>
    <w:lvl w:ilvl="0" w:tplc="54FCE0CE">
      <w:start w:val="1"/>
      <w:numFmt w:val="upperRoman"/>
      <w:pStyle w:val="JSKReferenceItem"/>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4F35"/>
    <w:rsid w:val="00052BE1"/>
    <w:rsid w:val="00096DD2"/>
    <w:rsid w:val="00153982"/>
    <w:rsid w:val="0023719E"/>
    <w:rsid w:val="002557F1"/>
    <w:rsid w:val="00262431"/>
    <w:rsid w:val="002919C3"/>
    <w:rsid w:val="002A4163"/>
    <w:rsid w:val="00301559"/>
    <w:rsid w:val="00310E75"/>
    <w:rsid w:val="00343013"/>
    <w:rsid w:val="00352531"/>
    <w:rsid w:val="00374387"/>
    <w:rsid w:val="003E1793"/>
    <w:rsid w:val="0040091F"/>
    <w:rsid w:val="00422CA6"/>
    <w:rsid w:val="0044263B"/>
    <w:rsid w:val="00446950"/>
    <w:rsid w:val="004907C7"/>
    <w:rsid w:val="004C4DE3"/>
    <w:rsid w:val="004E3494"/>
    <w:rsid w:val="00507213"/>
    <w:rsid w:val="0053086E"/>
    <w:rsid w:val="005415CD"/>
    <w:rsid w:val="005532D1"/>
    <w:rsid w:val="00577B93"/>
    <w:rsid w:val="005D12F3"/>
    <w:rsid w:val="005E39CA"/>
    <w:rsid w:val="005F1DC5"/>
    <w:rsid w:val="00603D32"/>
    <w:rsid w:val="00630C86"/>
    <w:rsid w:val="006A7980"/>
    <w:rsid w:val="006C0BFD"/>
    <w:rsid w:val="006D16D8"/>
    <w:rsid w:val="006F0913"/>
    <w:rsid w:val="0070248E"/>
    <w:rsid w:val="00716B4A"/>
    <w:rsid w:val="00720196"/>
    <w:rsid w:val="00724E90"/>
    <w:rsid w:val="0075422D"/>
    <w:rsid w:val="00795332"/>
    <w:rsid w:val="007B4BC2"/>
    <w:rsid w:val="007B6727"/>
    <w:rsid w:val="007F1CFD"/>
    <w:rsid w:val="008C7FB8"/>
    <w:rsid w:val="008F1C68"/>
    <w:rsid w:val="00914662"/>
    <w:rsid w:val="00997139"/>
    <w:rsid w:val="009C5404"/>
    <w:rsid w:val="009D4489"/>
    <w:rsid w:val="00A41C3B"/>
    <w:rsid w:val="00A5409B"/>
    <w:rsid w:val="00A617D6"/>
    <w:rsid w:val="00A964A7"/>
    <w:rsid w:val="00B120ED"/>
    <w:rsid w:val="00B244CB"/>
    <w:rsid w:val="00B32546"/>
    <w:rsid w:val="00B33EAC"/>
    <w:rsid w:val="00BD4F35"/>
    <w:rsid w:val="00C5497D"/>
    <w:rsid w:val="00C55690"/>
    <w:rsid w:val="00C81DF3"/>
    <w:rsid w:val="00D341E7"/>
    <w:rsid w:val="00D4367D"/>
    <w:rsid w:val="00D63C1F"/>
    <w:rsid w:val="00D676BD"/>
    <w:rsid w:val="00D93740"/>
    <w:rsid w:val="00DE659C"/>
    <w:rsid w:val="00E01B08"/>
    <w:rsid w:val="00E177DC"/>
    <w:rsid w:val="00E30A58"/>
    <w:rsid w:val="00E35DC2"/>
    <w:rsid w:val="00E7587B"/>
    <w:rsid w:val="00EC1FBE"/>
    <w:rsid w:val="00EC5BFA"/>
    <w:rsid w:val="00ED0BA7"/>
    <w:rsid w:val="00F12622"/>
    <w:rsid w:val="00F27304"/>
    <w:rsid w:val="00F47F91"/>
    <w:rsid w:val="00FE0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E6E72D"/>
  <w15:docId w15:val="{81621EAA-1B7B-4FDA-B8F4-2792E91D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F35"/>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
    <w:basedOn w:val="Normal"/>
    <w:link w:val="ListParagraphChar"/>
    <w:uiPriority w:val="34"/>
    <w:qFormat/>
    <w:rsid w:val="00BD4F35"/>
    <w:pPr>
      <w:ind w:left="720"/>
      <w:contextualSpacing/>
    </w:pPr>
    <w:rPr>
      <w:rFonts w:ascii="Calibri" w:eastAsia="Calibri" w:hAnsi="Calibri" w:cs="Times New Roman"/>
      <w:lang w:val="id-ID" w:eastAsia="en-US"/>
    </w:rPr>
  </w:style>
  <w:style w:type="character" w:customStyle="1" w:styleId="ListParagraphChar">
    <w:name w:val="List Paragraph Char"/>
    <w:aliases w:val="Heading 1 Char1 Char"/>
    <w:link w:val="ListParagraph"/>
    <w:uiPriority w:val="34"/>
    <w:rsid w:val="00BD4F35"/>
    <w:rPr>
      <w:rFonts w:ascii="Calibri" w:eastAsia="Calibri" w:hAnsi="Calibri" w:cs="Times New Roman"/>
      <w:lang w:val="id-ID"/>
    </w:rPr>
  </w:style>
  <w:style w:type="paragraph" w:styleId="Header">
    <w:name w:val="header"/>
    <w:basedOn w:val="Normal"/>
    <w:link w:val="HeaderChar"/>
    <w:unhideWhenUsed/>
    <w:rsid w:val="00BD4F35"/>
    <w:pPr>
      <w:tabs>
        <w:tab w:val="center" w:pos="4680"/>
        <w:tab w:val="right" w:pos="9360"/>
      </w:tabs>
      <w:spacing w:after="0" w:line="240" w:lineRule="auto"/>
    </w:pPr>
  </w:style>
  <w:style w:type="character" w:customStyle="1" w:styleId="HeaderChar">
    <w:name w:val="Header Char"/>
    <w:basedOn w:val="DefaultParagraphFont"/>
    <w:link w:val="Header"/>
    <w:rsid w:val="00BD4F35"/>
    <w:rPr>
      <w:rFonts w:eastAsiaTheme="minorEastAsia"/>
      <w:lang w:eastAsia="ja-JP"/>
    </w:rPr>
  </w:style>
  <w:style w:type="paragraph" w:styleId="Footer">
    <w:name w:val="footer"/>
    <w:basedOn w:val="Normal"/>
    <w:link w:val="FooterChar"/>
    <w:uiPriority w:val="99"/>
    <w:unhideWhenUsed/>
    <w:rsid w:val="00BD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35"/>
    <w:rPr>
      <w:rFonts w:eastAsiaTheme="minorEastAsia"/>
      <w:lang w:eastAsia="ja-JP"/>
    </w:rPr>
  </w:style>
  <w:style w:type="paragraph" w:styleId="BalloonText">
    <w:name w:val="Balloon Text"/>
    <w:basedOn w:val="Normal"/>
    <w:link w:val="BalloonTextChar"/>
    <w:uiPriority w:val="99"/>
    <w:semiHidden/>
    <w:unhideWhenUsed/>
    <w:rsid w:val="00C54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97D"/>
    <w:rPr>
      <w:rFonts w:ascii="Tahoma" w:eastAsiaTheme="minorEastAsia" w:hAnsi="Tahoma" w:cs="Tahoma"/>
      <w:sz w:val="16"/>
      <w:szCs w:val="16"/>
      <w:lang w:eastAsia="ja-JP"/>
    </w:rPr>
  </w:style>
  <w:style w:type="table" w:styleId="TableGrid">
    <w:name w:val="Table Grid"/>
    <w:basedOn w:val="TableNormal"/>
    <w:uiPriority w:val="59"/>
    <w:rsid w:val="00716B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SKReferenceItem">
    <w:name w:val="JSK Reference Item"/>
    <w:basedOn w:val="Normal"/>
    <w:rsid w:val="004907C7"/>
    <w:pPr>
      <w:numPr>
        <w:numId w:val="3"/>
      </w:numPr>
      <w:suppressAutoHyphens/>
      <w:snapToGrid w:val="0"/>
      <w:spacing w:after="0" w:line="240" w:lineRule="auto"/>
      <w:jc w:val="both"/>
    </w:pPr>
    <w:rPr>
      <w:rFonts w:ascii="Times New Roman" w:eastAsia="Times New Roman" w:hAnsi="Times New Roman" w:cs="Times New Roman"/>
      <w:sz w:val="16"/>
      <w:szCs w:val="24"/>
      <w:lang w:val="id-ID" w:eastAsia="zh-CN"/>
    </w:rPr>
  </w:style>
  <w:style w:type="paragraph" w:customStyle="1" w:styleId="IEEETitle">
    <w:name w:val="IEEE Title"/>
    <w:basedOn w:val="Normal"/>
    <w:next w:val="Normal"/>
    <w:rsid w:val="007F1CFD"/>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customStyle="1" w:styleId="IEEEAuthorName">
    <w:name w:val="IEEE Author Name"/>
    <w:basedOn w:val="Normal"/>
    <w:next w:val="Normal"/>
    <w:rsid w:val="00D93740"/>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D93740"/>
    <w:pPr>
      <w:spacing w:after="60" w:line="240" w:lineRule="auto"/>
      <w:jc w:val="center"/>
    </w:pPr>
    <w:rPr>
      <w:rFonts w:ascii="Times New Roman" w:eastAsia="Times New Roman" w:hAnsi="Times New Roman" w:cs="Times New Roman"/>
      <w:i/>
      <w:sz w:val="20"/>
      <w:szCs w:val="24"/>
      <w:lang w:val="en-GB" w:eastAsia="en-GB"/>
    </w:rPr>
  </w:style>
  <w:style w:type="character" w:styleId="Hyperlink">
    <w:name w:val="Hyperlink"/>
    <w:basedOn w:val="DefaultParagraphFont"/>
    <w:uiPriority w:val="99"/>
    <w:unhideWhenUsed/>
    <w:rsid w:val="00D93740"/>
    <w:rPr>
      <w:color w:val="0000FF" w:themeColor="hyperlink"/>
      <w:u w:val="single"/>
    </w:rPr>
  </w:style>
  <w:style w:type="character" w:styleId="UnresolvedMention">
    <w:name w:val="Unresolved Mention"/>
    <w:basedOn w:val="DefaultParagraphFont"/>
    <w:uiPriority w:val="99"/>
    <w:semiHidden/>
    <w:unhideWhenUsed/>
    <w:rsid w:val="00D93740"/>
    <w:rPr>
      <w:color w:val="605E5C"/>
      <w:shd w:val="clear" w:color="auto" w:fill="E1DFDD"/>
    </w:rPr>
  </w:style>
  <w:style w:type="paragraph" w:customStyle="1" w:styleId="IEEEParagraph">
    <w:name w:val="IEEE Paragraph"/>
    <w:basedOn w:val="Normal"/>
    <w:link w:val="IEEEParagraphChar"/>
    <w:rsid w:val="006A7980"/>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6A7980"/>
    <w:rPr>
      <w:rFonts w:ascii="Times New Roman" w:eastAsia="SimSun" w:hAnsi="Times New Roman" w:cs="Times New Roman"/>
      <w:sz w:val="20"/>
      <w:szCs w:val="24"/>
      <w:lang w:val="en-AU" w:eastAsia="zh-CN"/>
    </w:rPr>
  </w:style>
  <w:style w:type="paragraph" w:styleId="Caption">
    <w:name w:val="caption"/>
    <w:basedOn w:val="Normal"/>
    <w:next w:val="Normal"/>
    <w:qFormat/>
    <w:rsid w:val="00374387"/>
    <w:pPr>
      <w:spacing w:before="120" w:after="120" w:line="240" w:lineRule="auto"/>
    </w:pPr>
    <w:rPr>
      <w:rFonts w:ascii="Times New Roman" w:eastAsia="SimSun" w:hAnsi="Times New Roman" w:cs="Times New Roman"/>
      <w:b/>
      <w:bCs/>
      <w:sz w:val="20"/>
      <w:szCs w:val="20"/>
      <w:lang w:val="en-AU" w:eastAsia="zh-CN"/>
    </w:rPr>
  </w:style>
  <w:style w:type="paragraph" w:styleId="BodyText">
    <w:name w:val="Body Text"/>
    <w:basedOn w:val="Normal"/>
    <w:link w:val="BodyTextChar"/>
    <w:uiPriority w:val="1"/>
    <w:qFormat/>
    <w:rsid w:val="003E1793"/>
    <w:pPr>
      <w:widowControl w:val="0"/>
      <w:autoSpaceDE w:val="0"/>
      <w:autoSpaceDN w:val="0"/>
      <w:spacing w:after="0" w:line="240" w:lineRule="auto"/>
    </w:pPr>
    <w:rPr>
      <w:rFonts w:ascii="Arial MT" w:eastAsia="Arial MT" w:hAnsi="Arial MT" w:cs="Arial MT"/>
      <w:lang w:val="id" w:eastAsia="en-US"/>
    </w:rPr>
  </w:style>
  <w:style w:type="character" w:customStyle="1" w:styleId="BodyTextChar">
    <w:name w:val="Body Text Char"/>
    <w:basedOn w:val="DefaultParagraphFont"/>
    <w:link w:val="BodyText"/>
    <w:uiPriority w:val="1"/>
    <w:rsid w:val="003E1793"/>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58039">
      <w:bodyDiv w:val="1"/>
      <w:marLeft w:val="0"/>
      <w:marRight w:val="0"/>
      <w:marTop w:val="0"/>
      <w:marBottom w:val="0"/>
      <w:divBdr>
        <w:top w:val="none" w:sz="0" w:space="0" w:color="auto"/>
        <w:left w:val="none" w:sz="0" w:space="0" w:color="auto"/>
        <w:bottom w:val="none" w:sz="0" w:space="0" w:color="auto"/>
        <w:right w:val="none" w:sz="0" w:space="0" w:color="auto"/>
      </w:divBdr>
      <w:divsChild>
        <w:div w:id="1306858132">
          <w:marLeft w:val="0"/>
          <w:marRight w:val="0"/>
          <w:marTop w:val="0"/>
          <w:marBottom w:val="0"/>
          <w:divBdr>
            <w:top w:val="none" w:sz="0" w:space="0" w:color="auto"/>
            <w:left w:val="none" w:sz="0" w:space="0" w:color="auto"/>
            <w:bottom w:val="none" w:sz="0" w:space="0" w:color="auto"/>
            <w:right w:val="none" w:sz="0" w:space="0" w:color="auto"/>
          </w:divBdr>
        </w:div>
        <w:div w:id="1206482229">
          <w:marLeft w:val="0"/>
          <w:marRight w:val="0"/>
          <w:marTop w:val="0"/>
          <w:marBottom w:val="0"/>
          <w:divBdr>
            <w:top w:val="none" w:sz="0" w:space="0" w:color="auto"/>
            <w:left w:val="none" w:sz="0" w:space="0" w:color="auto"/>
            <w:bottom w:val="none" w:sz="0" w:space="0" w:color="auto"/>
            <w:right w:val="none" w:sz="0" w:space="0" w:color="auto"/>
          </w:divBdr>
        </w:div>
        <w:div w:id="431781441">
          <w:marLeft w:val="0"/>
          <w:marRight w:val="0"/>
          <w:marTop w:val="0"/>
          <w:marBottom w:val="0"/>
          <w:divBdr>
            <w:top w:val="none" w:sz="0" w:space="0" w:color="auto"/>
            <w:left w:val="none" w:sz="0" w:space="0" w:color="auto"/>
            <w:bottom w:val="none" w:sz="0" w:space="0" w:color="auto"/>
            <w:right w:val="none" w:sz="0" w:space="0" w:color="auto"/>
          </w:divBdr>
        </w:div>
        <w:div w:id="1210414547">
          <w:marLeft w:val="0"/>
          <w:marRight w:val="0"/>
          <w:marTop w:val="0"/>
          <w:marBottom w:val="0"/>
          <w:divBdr>
            <w:top w:val="none" w:sz="0" w:space="0" w:color="auto"/>
            <w:left w:val="none" w:sz="0" w:space="0" w:color="auto"/>
            <w:bottom w:val="none" w:sz="0" w:space="0" w:color="auto"/>
            <w:right w:val="none" w:sz="0" w:space="0" w:color="auto"/>
          </w:divBdr>
        </w:div>
        <w:div w:id="1396584825">
          <w:marLeft w:val="0"/>
          <w:marRight w:val="0"/>
          <w:marTop w:val="0"/>
          <w:marBottom w:val="0"/>
          <w:divBdr>
            <w:top w:val="none" w:sz="0" w:space="0" w:color="auto"/>
            <w:left w:val="none" w:sz="0" w:space="0" w:color="auto"/>
            <w:bottom w:val="none" w:sz="0" w:space="0" w:color="auto"/>
            <w:right w:val="none" w:sz="0" w:space="0" w:color="auto"/>
          </w:divBdr>
        </w:div>
        <w:div w:id="409733745">
          <w:marLeft w:val="0"/>
          <w:marRight w:val="0"/>
          <w:marTop w:val="0"/>
          <w:marBottom w:val="0"/>
          <w:divBdr>
            <w:top w:val="none" w:sz="0" w:space="0" w:color="auto"/>
            <w:left w:val="none" w:sz="0" w:space="0" w:color="auto"/>
            <w:bottom w:val="none" w:sz="0" w:space="0" w:color="auto"/>
            <w:right w:val="none" w:sz="0" w:space="0" w:color="auto"/>
          </w:divBdr>
        </w:div>
        <w:div w:id="706562971">
          <w:marLeft w:val="0"/>
          <w:marRight w:val="0"/>
          <w:marTop w:val="0"/>
          <w:marBottom w:val="0"/>
          <w:divBdr>
            <w:top w:val="none" w:sz="0" w:space="0" w:color="auto"/>
            <w:left w:val="none" w:sz="0" w:space="0" w:color="auto"/>
            <w:bottom w:val="none" w:sz="0" w:space="0" w:color="auto"/>
            <w:right w:val="none" w:sz="0" w:space="0" w:color="auto"/>
          </w:divBdr>
        </w:div>
      </w:divsChild>
    </w:div>
    <w:div w:id="2011055176">
      <w:bodyDiv w:val="1"/>
      <w:marLeft w:val="0"/>
      <w:marRight w:val="0"/>
      <w:marTop w:val="0"/>
      <w:marBottom w:val="0"/>
      <w:divBdr>
        <w:top w:val="none" w:sz="0" w:space="0" w:color="auto"/>
        <w:left w:val="none" w:sz="0" w:space="0" w:color="auto"/>
        <w:bottom w:val="none" w:sz="0" w:space="0" w:color="auto"/>
        <w:right w:val="none" w:sz="0" w:space="0" w:color="auto"/>
      </w:divBdr>
      <w:divsChild>
        <w:div w:id="1159232006">
          <w:marLeft w:val="0"/>
          <w:marRight w:val="0"/>
          <w:marTop w:val="0"/>
          <w:marBottom w:val="0"/>
          <w:divBdr>
            <w:top w:val="none" w:sz="0" w:space="0" w:color="auto"/>
            <w:left w:val="none" w:sz="0" w:space="0" w:color="auto"/>
            <w:bottom w:val="none" w:sz="0" w:space="0" w:color="auto"/>
            <w:right w:val="none" w:sz="0" w:space="0" w:color="auto"/>
          </w:divBdr>
        </w:div>
        <w:div w:id="1880438404">
          <w:marLeft w:val="0"/>
          <w:marRight w:val="0"/>
          <w:marTop w:val="0"/>
          <w:marBottom w:val="0"/>
          <w:divBdr>
            <w:top w:val="none" w:sz="0" w:space="0" w:color="auto"/>
            <w:left w:val="none" w:sz="0" w:space="0" w:color="auto"/>
            <w:bottom w:val="none" w:sz="0" w:space="0" w:color="auto"/>
            <w:right w:val="none" w:sz="0" w:space="0" w:color="auto"/>
          </w:divBdr>
        </w:div>
        <w:div w:id="2096710224">
          <w:marLeft w:val="0"/>
          <w:marRight w:val="0"/>
          <w:marTop w:val="0"/>
          <w:marBottom w:val="0"/>
          <w:divBdr>
            <w:top w:val="none" w:sz="0" w:space="0" w:color="auto"/>
            <w:left w:val="none" w:sz="0" w:space="0" w:color="auto"/>
            <w:bottom w:val="none" w:sz="0" w:space="0" w:color="auto"/>
            <w:right w:val="none" w:sz="0" w:space="0" w:color="auto"/>
          </w:divBdr>
        </w:div>
        <w:div w:id="609239933">
          <w:marLeft w:val="0"/>
          <w:marRight w:val="0"/>
          <w:marTop w:val="0"/>
          <w:marBottom w:val="0"/>
          <w:divBdr>
            <w:top w:val="none" w:sz="0" w:space="0" w:color="auto"/>
            <w:left w:val="none" w:sz="0" w:space="0" w:color="auto"/>
            <w:bottom w:val="none" w:sz="0" w:space="0" w:color="auto"/>
            <w:right w:val="none" w:sz="0" w:space="0" w:color="auto"/>
          </w:divBdr>
        </w:div>
        <w:div w:id="536820371">
          <w:marLeft w:val="0"/>
          <w:marRight w:val="0"/>
          <w:marTop w:val="0"/>
          <w:marBottom w:val="0"/>
          <w:divBdr>
            <w:top w:val="none" w:sz="0" w:space="0" w:color="auto"/>
            <w:left w:val="none" w:sz="0" w:space="0" w:color="auto"/>
            <w:bottom w:val="none" w:sz="0" w:space="0" w:color="auto"/>
            <w:right w:val="none" w:sz="0" w:space="0" w:color="auto"/>
          </w:divBdr>
        </w:div>
        <w:div w:id="663895961">
          <w:marLeft w:val="0"/>
          <w:marRight w:val="0"/>
          <w:marTop w:val="0"/>
          <w:marBottom w:val="0"/>
          <w:divBdr>
            <w:top w:val="none" w:sz="0" w:space="0" w:color="auto"/>
            <w:left w:val="none" w:sz="0" w:space="0" w:color="auto"/>
            <w:bottom w:val="none" w:sz="0" w:space="0" w:color="auto"/>
            <w:right w:val="none" w:sz="0" w:space="0" w:color="auto"/>
          </w:divBdr>
        </w:div>
        <w:div w:id="1704556434">
          <w:marLeft w:val="0"/>
          <w:marRight w:val="0"/>
          <w:marTop w:val="0"/>
          <w:marBottom w:val="0"/>
          <w:divBdr>
            <w:top w:val="none" w:sz="0" w:space="0" w:color="auto"/>
            <w:left w:val="none" w:sz="0" w:space="0" w:color="auto"/>
            <w:bottom w:val="none" w:sz="0" w:space="0" w:color="auto"/>
            <w:right w:val="none" w:sz="0" w:space="0" w:color="auto"/>
          </w:divBdr>
        </w:div>
        <w:div w:id="1078019701">
          <w:marLeft w:val="0"/>
          <w:marRight w:val="0"/>
          <w:marTop w:val="0"/>
          <w:marBottom w:val="0"/>
          <w:divBdr>
            <w:top w:val="none" w:sz="0" w:space="0" w:color="auto"/>
            <w:left w:val="none" w:sz="0" w:space="0" w:color="auto"/>
            <w:bottom w:val="none" w:sz="0" w:space="0" w:color="auto"/>
            <w:right w:val="none" w:sz="0" w:space="0" w:color="auto"/>
          </w:divBdr>
        </w:div>
        <w:div w:id="209465952">
          <w:marLeft w:val="0"/>
          <w:marRight w:val="0"/>
          <w:marTop w:val="0"/>
          <w:marBottom w:val="0"/>
          <w:divBdr>
            <w:top w:val="none" w:sz="0" w:space="0" w:color="auto"/>
            <w:left w:val="none" w:sz="0" w:space="0" w:color="auto"/>
            <w:bottom w:val="none" w:sz="0" w:space="0" w:color="auto"/>
            <w:right w:val="none" w:sz="0" w:space="0" w:color="auto"/>
          </w:divBdr>
        </w:div>
        <w:div w:id="578248844">
          <w:marLeft w:val="0"/>
          <w:marRight w:val="0"/>
          <w:marTop w:val="0"/>
          <w:marBottom w:val="0"/>
          <w:divBdr>
            <w:top w:val="none" w:sz="0" w:space="0" w:color="auto"/>
            <w:left w:val="none" w:sz="0" w:space="0" w:color="auto"/>
            <w:bottom w:val="none" w:sz="0" w:space="0" w:color="auto"/>
            <w:right w:val="none" w:sz="0" w:space="0" w:color="auto"/>
          </w:divBdr>
        </w:div>
        <w:div w:id="1931574496">
          <w:marLeft w:val="0"/>
          <w:marRight w:val="0"/>
          <w:marTop w:val="0"/>
          <w:marBottom w:val="0"/>
          <w:divBdr>
            <w:top w:val="none" w:sz="0" w:space="0" w:color="auto"/>
            <w:left w:val="none" w:sz="0" w:space="0" w:color="auto"/>
            <w:bottom w:val="none" w:sz="0" w:space="0" w:color="auto"/>
            <w:right w:val="none" w:sz="0" w:space="0" w:color="auto"/>
          </w:divBdr>
        </w:div>
        <w:div w:id="1467428416">
          <w:marLeft w:val="0"/>
          <w:marRight w:val="0"/>
          <w:marTop w:val="0"/>
          <w:marBottom w:val="0"/>
          <w:divBdr>
            <w:top w:val="none" w:sz="0" w:space="0" w:color="auto"/>
            <w:left w:val="none" w:sz="0" w:space="0" w:color="auto"/>
            <w:bottom w:val="none" w:sz="0" w:space="0" w:color="auto"/>
            <w:right w:val="none" w:sz="0" w:space="0" w:color="auto"/>
          </w:divBdr>
        </w:div>
        <w:div w:id="1769815205">
          <w:marLeft w:val="0"/>
          <w:marRight w:val="0"/>
          <w:marTop w:val="0"/>
          <w:marBottom w:val="0"/>
          <w:divBdr>
            <w:top w:val="none" w:sz="0" w:space="0" w:color="auto"/>
            <w:left w:val="none" w:sz="0" w:space="0" w:color="auto"/>
            <w:bottom w:val="none" w:sz="0" w:space="0" w:color="auto"/>
            <w:right w:val="none" w:sz="0" w:space="0" w:color="auto"/>
          </w:divBdr>
        </w:div>
        <w:div w:id="458652336">
          <w:marLeft w:val="0"/>
          <w:marRight w:val="0"/>
          <w:marTop w:val="0"/>
          <w:marBottom w:val="0"/>
          <w:divBdr>
            <w:top w:val="none" w:sz="0" w:space="0" w:color="auto"/>
            <w:left w:val="none" w:sz="0" w:space="0" w:color="auto"/>
            <w:bottom w:val="none" w:sz="0" w:space="0" w:color="auto"/>
            <w:right w:val="none" w:sz="0" w:space="0" w:color="auto"/>
          </w:divBdr>
        </w:div>
        <w:div w:id="1572689427">
          <w:marLeft w:val="0"/>
          <w:marRight w:val="0"/>
          <w:marTop w:val="0"/>
          <w:marBottom w:val="0"/>
          <w:divBdr>
            <w:top w:val="none" w:sz="0" w:space="0" w:color="auto"/>
            <w:left w:val="none" w:sz="0" w:space="0" w:color="auto"/>
            <w:bottom w:val="none" w:sz="0" w:space="0" w:color="auto"/>
            <w:right w:val="none" w:sz="0" w:space="0" w:color="auto"/>
          </w:divBdr>
        </w:div>
        <w:div w:id="1165514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daharyati@poltekkes-smg.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AD9FB-962E-4A14-98A0-6E84FCC4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5808</Words>
  <Characters>33106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Kholifah Nur Ijazati</cp:lastModifiedBy>
  <cp:revision>38</cp:revision>
  <cp:lastPrinted>2019-04-15T04:07:00Z</cp:lastPrinted>
  <dcterms:created xsi:type="dcterms:W3CDTF">2019-05-13T04:52:00Z</dcterms:created>
  <dcterms:modified xsi:type="dcterms:W3CDTF">2024-10-29T16:30:00Z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98e7448f-320c-35dc-9723-1160a2662607</vt:lpwstr>
  </property>
  <property fmtid="{D5CDD505-2E9C-101B-9397-08002B2CF9AE}" pid="4" name="Mendeley Citation Style_1">
    <vt:lpwstr>http://www.zotero.org/styles/ieee</vt:lpwstr>
  </property>
</Properties>
</file>