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1B4D9" w14:textId="5972AE8D" w:rsidR="005C0B80" w:rsidRDefault="003E6C9F">
      <w:pPr>
        <w:spacing w:after="0"/>
        <w:jc w:val="center"/>
        <w:rPr>
          <w:rFonts w:ascii="Times New Roman" w:hAnsi="Times New Roman"/>
          <w:b/>
          <w:bCs/>
          <w:sz w:val="24"/>
          <w:szCs w:val="24"/>
        </w:rPr>
      </w:pPr>
      <w:r>
        <w:rPr>
          <w:rFonts w:ascii="Times New Roman" w:hAnsi="Times New Roman"/>
          <w:b/>
          <w:bCs/>
          <w:sz w:val="24"/>
          <w:szCs w:val="24"/>
        </w:rPr>
        <w:t>Hubungan Kadar Hemoglobin Dan Kadar Kreatinin Darah Pada Pasien Gagal Ginjal Kronik Pasca Transfusi Berulang</w:t>
      </w:r>
    </w:p>
    <w:p w14:paraId="1F9F369C" w14:textId="55CFF6FE" w:rsidR="000D0D42" w:rsidRDefault="000D0D42">
      <w:pPr>
        <w:spacing w:after="0"/>
        <w:jc w:val="center"/>
        <w:rPr>
          <w:rFonts w:ascii="Times New Roman" w:hAnsi="Times New Roman"/>
          <w:b/>
          <w:bCs/>
          <w:sz w:val="24"/>
          <w:szCs w:val="24"/>
        </w:rPr>
      </w:pPr>
    </w:p>
    <w:p w14:paraId="26435C45" w14:textId="3842C404" w:rsidR="000D0D42" w:rsidRPr="000D0D42" w:rsidRDefault="000D0D42">
      <w:pPr>
        <w:spacing w:after="0"/>
        <w:jc w:val="center"/>
        <w:rPr>
          <w:rFonts w:ascii="Times New Roman" w:hAnsi="Times New Roman"/>
          <w:b/>
          <w:bCs/>
          <w:i/>
          <w:iCs/>
          <w:sz w:val="24"/>
          <w:szCs w:val="24"/>
        </w:rPr>
      </w:pPr>
      <w:r w:rsidRPr="000D0D42">
        <w:rPr>
          <w:rFonts w:ascii="Times New Roman" w:hAnsi="Times New Roman"/>
          <w:b/>
          <w:bCs/>
          <w:i/>
          <w:iCs/>
          <w:sz w:val="24"/>
          <w:szCs w:val="24"/>
        </w:rPr>
        <w:t>Correlation Of Hemoglobin And Blood Creatinine Levels In Chronic Kidney Disease Patients Post Repeated Transfusion</w:t>
      </w:r>
    </w:p>
    <w:p w14:paraId="5743C392" w14:textId="77777777" w:rsidR="005C0B80" w:rsidRDefault="005C0B80">
      <w:pPr>
        <w:spacing w:after="0"/>
        <w:jc w:val="center"/>
        <w:rPr>
          <w:rFonts w:ascii="Times New Roman" w:hAnsi="Times New Roman"/>
          <w:b/>
          <w:bCs/>
          <w:sz w:val="24"/>
          <w:szCs w:val="24"/>
        </w:rPr>
      </w:pPr>
    </w:p>
    <w:p w14:paraId="5DB2909A" w14:textId="77777777" w:rsidR="005C0B80" w:rsidRDefault="003E6C9F">
      <w:pPr>
        <w:spacing w:after="0"/>
        <w:jc w:val="center"/>
        <w:rPr>
          <w:rFonts w:ascii="Times New Roman" w:hAnsi="Times New Roman" w:cs="Times New Roman"/>
          <w:b/>
          <w:bCs/>
          <w:sz w:val="24"/>
          <w:szCs w:val="24"/>
        </w:rPr>
      </w:pPr>
      <w:r>
        <w:rPr>
          <w:rFonts w:ascii="Times New Roman" w:hAnsi="Times New Roman" w:cs="Times New Roman"/>
          <w:b/>
          <w:bCs/>
          <w:sz w:val="24"/>
          <w:szCs w:val="24"/>
        </w:rPr>
        <w:t>EKO NANING SOFYANITA</w:t>
      </w:r>
    </w:p>
    <w:p w14:paraId="2662589C" w14:textId="77777777" w:rsidR="005C0B80" w:rsidRDefault="003E6C9F">
      <w:pPr>
        <w:spacing w:after="0"/>
        <w:jc w:val="center"/>
        <w:rPr>
          <w:rFonts w:ascii="Times New Roman" w:hAnsi="Times New Roman" w:cs="Times New Roman"/>
          <w:b/>
          <w:bCs/>
          <w:sz w:val="24"/>
          <w:szCs w:val="24"/>
        </w:rPr>
      </w:pPr>
      <w:r>
        <w:rPr>
          <w:rFonts w:ascii="Times New Roman" w:hAnsi="Times New Roman" w:cs="Times New Roman"/>
          <w:b/>
          <w:bCs/>
          <w:sz w:val="24"/>
          <w:szCs w:val="24"/>
        </w:rPr>
        <w:t>RONI AFRIANSYA</w:t>
      </w:r>
    </w:p>
    <w:p w14:paraId="25EE2B65" w14:textId="77777777" w:rsidR="005C0B80" w:rsidRDefault="003E6C9F">
      <w:pPr>
        <w:spacing w:after="0"/>
        <w:jc w:val="center"/>
        <w:rPr>
          <w:rFonts w:ascii="Times New Roman" w:hAnsi="Times New Roman" w:cs="Times New Roman"/>
          <w:b/>
          <w:bCs/>
          <w:sz w:val="24"/>
          <w:szCs w:val="24"/>
        </w:rPr>
      </w:pPr>
      <w:r>
        <w:rPr>
          <w:rFonts w:ascii="Times New Roman" w:hAnsi="Times New Roman" w:cs="Times New Roman"/>
          <w:b/>
          <w:bCs/>
          <w:sz w:val="24"/>
          <w:szCs w:val="24"/>
        </w:rPr>
        <w:t>NUR INDAH PALUPI</w:t>
      </w:r>
    </w:p>
    <w:p w14:paraId="3D03898C" w14:textId="77777777" w:rsidR="005C0B80" w:rsidRDefault="005C0B80">
      <w:pPr>
        <w:spacing w:after="0"/>
        <w:jc w:val="center"/>
        <w:rPr>
          <w:rFonts w:ascii="Times New Roman" w:hAnsi="Times New Roman" w:cs="Times New Roman"/>
          <w:b/>
          <w:bCs/>
          <w:sz w:val="24"/>
          <w:szCs w:val="24"/>
        </w:rPr>
      </w:pPr>
    </w:p>
    <w:p w14:paraId="4BC0A11E" w14:textId="77777777" w:rsidR="005C0B80" w:rsidRDefault="003E6C9F">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Jurusan Analis Kesehatan Poltekkes Kemenkes Semarang</w:t>
      </w:r>
    </w:p>
    <w:p w14:paraId="37F1CCE6" w14:textId="77777777" w:rsidR="005C0B80" w:rsidRDefault="003E6C9F">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Jl. Wolter Monginsidi </w:t>
      </w:r>
      <w:r>
        <w:rPr>
          <w:rFonts w:ascii="Times New Roman" w:hAnsi="Times New Roman" w:cs="Times New Roman"/>
          <w:i/>
          <w:sz w:val="24"/>
          <w:szCs w:val="24"/>
        </w:rPr>
        <w:t>Pedurungan Tengah Semarang</w:t>
      </w:r>
      <w:r>
        <w:rPr>
          <w:rFonts w:ascii="Times New Roman" w:hAnsi="Times New Roman" w:cs="Times New Roman"/>
          <w:i/>
          <w:iCs/>
          <w:sz w:val="16"/>
          <w:szCs w:val="16"/>
        </w:rPr>
        <w:t xml:space="preserve"> </w:t>
      </w:r>
    </w:p>
    <w:p w14:paraId="524E5497" w14:textId="77777777" w:rsidR="005C0B80" w:rsidRDefault="003E6C9F">
      <w:pPr>
        <w:spacing w:after="0"/>
        <w:jc w:val="center"/>
        <w:rPr>
          <w:rFonts w:ascii="Times New Roman" w:hAnsi="Times New Roman" w:cs="Times New Roman"/>
          <w:i/>
          <w:iCs/>
          <w:sz w:val="24"/>
          <w:szCs w:val="24"/>
        </w:rPr>
      </w:pPr>
      <w:r>
        <w:rPr>
          <w:rFonts w:ascii="Times New Roman" w:hAnsi="Times New Roman" w:cs="Times New Roman"/>
          <w:i/>
          <w:iCs/>
          <w:sz w:val="24"/>
          <w:szCs w:val="24"/>
          <w:lang w:val="en"/>
        </w:rPr>
        <w:t>Email:</w:t>
      </w:r>
      <w:r>
        <w:rPr>
          <w:rFonts w:ascii="Times New Roman" w:hAnsi="Times New Roman" w:cs="Times New Roman"/>
          <w:i/>
          <w:iCs/>
          <w:sz w:val="24"/>
          <w:szCs w:val="24"/>
        </w:rPr>
        <w:t xml:space="preserve"> </w:t>
      </w:r>
      <w:hyperlink r:id="rId8" w:history="1">
        <w:r>
          <w:rPr>
            <w:rStyle w:val="Hyperlink"/>
            <w:rFonts w:ascii="Times New Roman" w:hAnsi="Times New Roman"/>
            <w:i/>
            <w:iCs/>
            <w:sz w:val="24"/>
            <w:szCs w:val="24"/>
          </w:rPr>
          <w:t>en.sofyanita@gmail.com</w:t>
        </w:r>
      </w:hyperlink>
    </w:p>
    <w:p w14:paraId="2210182C" w14:textId="77777777" w:rsidR="005C0B80" w:rsidRDefault="005C0B80">
      <w:pPr>
        <w:spacing w:after="0"/>
        <w:jc w:val="center"/>
        <w:rPr>
          <w:rFonts w:ascii="Times New Roman" w:hAnsi="Times New Roman" w:cs="Times New Roman"/>
          <w:sz w:val="24"/>
          <w:szCs w:val="24"/>
          <w:lang w:val="en"/>
        </w:rPr>
      </w:pPr>
    </w:p>
    <w:p w14:paraId="5E7C185D" w14:textId="77777777" w:rsidR="005C0B80" w:rsidRDefault="005C0B80">
      <w:pPr>
        <w:spacing w:after="0"/>
        <w:jc w:val="center"/>
        <w:rPr>
          <w:rFonts w:ascii="Times New Roman" w:hAnsi="Times New Roman" w:cs="Times New Roman"/>
          <w:b/>
          <w:bCs/>
          <w:sz w:val="24"/>
          <w:szCs w:val="24"/>
        </w:rPr>
      </w:pPr>
    </w:p>
    <w:p w14:paraId="59BF9375" w14:textId="77777777" w:rsidR="005C0B80" w:rsidRDefault="003E6C9F">
      <w:pPr>
        <w:spacing w:after="0" w:line="240" w:lineRule="auto"/>
        <w:rPr>
          <w:rFonts w:ascii="Times New Roman" w:hAnsi="Times New Roman" w:cs="Times New Roman"/>
          <w:b/>
          <w:sz w:val="22"/>
          <w:szCs w:val="22"/>
        </w:rPr>
      </w:pPr>
      <w:r>
        <w:rPr>
          <w:rFonts w:ascii="Times New Roman" w:hAnsi="Times New Roman" w:cs="Times New Roman"/>
          <w:b/>
          <w:sz w:val="22"/>
          <w:szCs w:val="22"/>
        </w:rPr>
        <w:t>Abstrak</w:t>
      </w:r>
    </w:p>
    <w:p w14:paraId="2588CA05" w14:textId="77777777" w:rsidR="005C0B80" w:rsidRDefault="003E6C9F">
      <w:pPr>
        <w:spacing w:after="0" w:line="240" w:lineRule="auto"/>
        <w:jc w:val="both"/>
        <w:rPr>
          <w:rFonts w:ascii="Times New Roman" w:hAnsi="Times New Roman" w:cs="Times New Roman"/>
          <w:sz w:val="22"/>
          <w:szCs w:val="22"/>
        </w:rPr>
      </w:pPr>
      <w:r>
        <w:rPr>
          <w:rFonts w:ascii="Times New Roman" w:hAnsi="Times New Roman"/>
          <w:sz w:val="22"/>
          <w:szCs w:val="22"/>
        </w:rPr>
        <w:t xml:space="preserve">Ginjal merupakan bagian dari tubuh yang memiliki peran penting. Fungsi ginjal salah satunya tempat produksi erythropoietin. </w:t>
      </w:r>
      <w:r>
        <w:rPr>
          <w:rFonts w:ascii="Times New Roman" w:hAnsi="Times New Roman"/>
          <w:sz w:val="22"/>
          <w:szCs w:val="22"/>
        </w:rPr>
        <w:t xml:space="preserve">Erytropoietin berfungsi memicu produksi sel darah merah. Orang atau pasien yang memiliki gangguan pada ginjal dapat menyebabkan terjadinya anemia. Penelitian ini bertujuan untuk mengetahui hubungan kadar hemoglobin dengan kadar kreatinin darah pada pasien </w:t>
      </w:r>
      <w:r>
        <w:rPr>
          <w:rFonts w:ascii="Times New Roman" w:hAnsi="Times New Roman"/>
          <w:sz w:val="22"/>
          <w:szCs w:val="22"/>
        </w:rPr>
        <w:t>dengan penyakit ginjal kronik pasca mendapatkan transfusi. Kadar kreatinin darah dalam penelitian ini digunakan sebagai indeks pengukuran fungsi ginjal. Penelitian dilakukan di rumah sakit Wira Tamtama Semarang dengan mengambil data 20 pasien pada tahun 20</w:t>
      </w:r>
      <w:r>
        <w:rPr>
          <w:rFonts w:ascii="Times New Roman" w:hAnsi="Times New Roman"/>
          <w:sz w:val="22"/>
          <w:szCs w:val="22"/>
        </w:rPr>
        <w:t>20 dengan penyakit ginjal kronik dan diambil data hemoglobin (cut-off 12 gr/dL) dan kreatinin serum (cut-off 1,5 mg/dL). Hubungan antara keduanya dihitung dengan uji chi-square dan didapatkan 80% pasien dengan hemoglobin rendah pada pasien dengan kadar kre</w:t>
      </w:r>
      <w:r>
        <w:rPr>
          <w:rFonts w:ascii="Times New Roman" w:hAnsi="Times New Roman"/>
          <w:sz w:val="22"/>
          <w:szCs w:val="22"/>
        </w:rPr>
        <w:t>atinin tinggi dan 0% pasien dengan hemoglobin rendah pada pasien dengan kadar kreatinin normal (p=0,040). Terdapat risiko penurunan kadar hemoglobin (OR = 3,442) pada pasien dengan kadar kreatinin yang tinggi. Disimpulkan bahwa terdapat hubungan bermakna a</w:t>
      </w:r>
      <w:r>
        <w:rPr>
          <w:rFonts w:ascii="Times New Roman" w:hAnsi="Times New Roman"/>
          <w:sz w:val="22"/>
          <w:szCs w:val="22"/>
        </w:rPr>
        <w:t>ntara kadar hemoglobin dengan kadar kreatinin darah dan pasien dengan kadar kreatinin tinggi cenderung berisiko anemia.</w:t>
      </w:r>
    </w:p>
    <w:p w14:paraId="0BBAE57B" w14:textId="77777777" w:rsidR="005C0B80" w:rsidRDefault="005C0B80">
      <w:pPr>
        <w:spacing w:after="0" w:line="240" w:lineRule="auto"/>
        <w:rPr>
          <w:rFonts w:ascii="Times New Roman" w:eastAsia="Calibri" w:hAnsi="Times New Roman" w:cs="Times New Roman"/>
          <w:b/>
          <w:sz w:val="22"/>
          <w:szCs w:val="22"/>
        </w:rPr>
      </w:pPr>
    </w:p>
    <w:p w14:paraId="1C0253FC" w14:textId="77777777" w:rsidR="005C0B80" w:rsidRDefault="003E6C9F">
      <w:pPr>
        <w:spacing w:after="0" w:line="240" w:lineRule="auto"/>
        <w:rPr>
          <w:rFonts w:ascii="Times New Roman" w:hAnsi="Times New Roman" w:cs="Times New Roman"/>
          <w:i/>
          <w:sz w:val="22"/>
          <w:szCs w:val="22"/>
        </w:rPr>
      </w:pPr>
      <w:r>
        <w:rPr>
          <w:rFonts w:ascii="Times New Roman" w:eastAsia="Calibri" w:hAnsi="Times New Roman" w:cs="Times New Roman"/>
          <w:b/>
          <w:sz w:val="22"/>
          <w:szCs w:val="22"/>
        </w:rPr>
        <w:t>Kata Kunci</w:t>
      </w:r>
      <w:r>
        <w:rPr>
          <w:rFonts w:ascii="Times New Roman" w:hAnsi="Times New Roman" w:cs="Times New Roman"/>
          <w:b/>
          <w:sz w:val="22"/>
          <w:szCs w:val="22"/>
        </w:rPr>
        <w:t xml:space="preserve">: </w:t>
      </w:r>
      <w:r>
        <w:rPr>
          <w:rFonts w:ascii="Times New Roman" w:hAnsi="Times New Roman"/>
          <w:b/>
          <w:sz w:val="22"/>
          <w:szCs w:val="22"/>
        </w:rPr>
        <w:t>Gagal ginjal kronik, hemoglobin, kreatinin</w:t>
      </w:r>
    </w:p>
    <w:p w14:paraId="205CBC25" w14:textId="77777777" w:rsidR="005C0B80" w:rsidRDefault="005C0B80">
      <w:pPr>
        <w:spacing w:after="0"/>
        <w:jc w:val="center"/>
        <w:rPr>
          <w:rFonts w:ascii="Times New Roman" w:hAnsi="Times New Roman" w:cs="Times New Roman"/>
          <w:i/>
          <w:sz w:val="22"/>
          <w:szCs w:val="22"/>
        </w:rPr>
      </w:pPr>
    </w:p>
    <w:p w14:paraId="20AAA9DD" w14:textId="77777777" w:rsidR="005C0B80" w:rsidRDefault="005C0B80">
      <w:pPr>
        <w:spacing w:after="0"/>
        <w:jc w:val="center"/>
        <w:rPr>
          <w:rFonts w:ascii="Times New Roman" w:hAnsi="Times New Roman" w:cs="Times New Roman"/>
          <w:i/>
          <w:sz w:val="22"/>
          <w:szCs w:val="22"/>
        </w:rPr>
      </w:pPr>
    </w:p>
    <w:p w14:paraId="4E4355A1" w14:textId="77777777" w:rsidR="005C0B80" w:rsidRDefault="003E6C9F">
      <w:pPr>
        <w:spacing w:after="0" w:line="240" w:lineRule="auto"/>
        <w:rPr>
          <w:rFonts w:ascii="Times New Roman" w:hAnsi="Times New Roman" w:cs="Times New Roman"/>
          <w:b/>
          <w:i/>
          <w:iCs/>
          <w:color w:val="000000"/>
          <w:sz w:val="22"/>
          <w:szCs w:val="22"/>
        </w:rPr>
      </w:pPr>
      <w:r>
        <w:rPr>
          <w:rFonts w:ascii="Times New Roman" w:hAnsi="Times New Roman" w:cs="Times New Roman"/>
          <w:b/>
          <w:i/>
          <w:iCs/>
          <w:color w:val="000000"/>
          <w:sz w:val="22"/>
          <w:szCs w:val="22"/>
        </w:rPr>
        <w:t>Abstract</w:t>
      </w:r>
    </w:p>
    <w:p w14:paraId="0BD7EDF0" w14:textId="67DF12B2" w:rsidR="005C0B80" w:rsidRPr="000D0D42" w:rsidRDefault="003E6C9F" w:rsidP="000D0D42">
      <w:pPr>
        <w:spacing w:after="0" w:line="240" w:lineRule="auto"/>
        <w:jc w:val="both"/>
        <w:rPr>
          <w:rFonts w:ascii="Times New Roman" w:hAnsi="Times New Roman" w:cs="Times New Roman"/>
          <w:i/>
          <w:iCs/>
          <w:sz w:val="22"/>
          <w:szCs w:val="22"/>
        </w:rPr>
      </w:pPr>
      <w:r>
        <w:rPr>
          <w:rFonts w:ascii="Times New Roman" w:hAnsi="Times New Roman"/>
          <w:i/>
          <w:iCs/>
          <w:sz w:val="22"/>
          <w:szCs w:val="22"/>
        </w:rPr>
        <w:t>Kidneys are part of the body that has an important role. One of the f</w:t>
      </w:r>
      <w:r>
        <w:rPr>
          <w:rFonts w:ascii="Times New Roman" w:hAnsi="Times New Roman"/>
          <w:i/>
          <w:iCs/>
          <w:sz w:val="22"/>
          <w:szCs w:val="22"/>
        </w:rPr>
        <w:t>unctions of the kidney is the production of erythropoietin. Erythropoietin stimulates the production of red blood cells. People or patients who have kidney problems can cause anemia. This study aims to determine the relationship between hemoglobin levels a</w:t>
      </w:r>
      <w:r>
        <w:rPr>
          <w:rFonts w:ascii="Times New Roman" w:hAnsi="Times New Roman"/>
          <w:i/>
          <w:iCs/>
          <w:sz w:val="22"/>
          <w:szCs w:val="22"/>
        </w:rPr>
        <w:t>nd blood creatinine levels in patients with chronic kidney disease after receiving a transfusion. Blood creatinine levels in this study were used as an index to measure kidney function. The study was conducted at the Wira Tamtama Hospital Semarang by takin</w:t>
      </w:r>
      <w:r>
        <w:rPr>
          <w:rFonts w:ascii="Times New Roman" w:hAnsi="Times New Roman"/>
          <w:i/>
          <w:iCs/>
          <w:sz w:val="22"/>
          <w:szCs w:val="22"/>
        </w:rPr>
        <w:t>g data on 20 patients in 2020 with chronic kidney disease and taking data on hemoglobin (cut-off 12 g/dL) and serum creatinine (cut-off 1.5 mg/dL). The relationship between the two was calculated by chi-square test and found 80% of patients with low hemogl</w:t>
      </w:r>
      <w:r>
        <w:rPr>
          <w:rFonts w:ascii="Times New Roman" w:hAnsi="Times New Roman"/>
          <w:i/>
          <w:iCs/>
          <w:sz w:val="22"/>
          <w:szCs w:val="22"/>
        </w:rPr>
        <w:t>obin in patients with high creatinine levels and 0% of patients with low hemoglobin in patients with normal creatinine levels (p=0.040). There is a risk of decreased hemoglobin levels (OR = 3,442) in patients with high creatinine levels. It was concluded t</w:t>
      </w:r>
      <w:r>
        <w:rPr>
          <w:rFonts w:ascii="Times New Roman" w:hAnsi="Times New Roman"/>
          <w:i/>
          <w:iCs/>
          <w:sz w:val="22"/>
          <w:szCs w:val="22"/>
        </w:rPr>
        <w:t>hat there was a significant relationship between hemoglobin levels and blood creatinine levels and patients with high creatinine levels tended to be at risk of anemia.</w:t>
      </w:r>
    </w:p>
    <w:p w14:paraId="75CFB8F2" w14:textId="77777777" w:rsidR="005C0B80" w:rsidRDefault="003E6C9F">
      <w:pPr>
        <w:jc w:val="both"/>
        <w:rPr>
          <w:rFonts w:ascii="Times New Roman" w:hAnsi="Times New Roman" w:cs="Times New Roman"/>
          <w:i/>
          <w:iCs/>
          <w:sz w:val="22"/>
          <w:szCs w:val="22"/>
        </w:rPr>
      </w:pPr>
      <w:r>
        <w:rPr>
          <w:rFonts w:ascii="Times New Roman" w:eastAsia="Calibri" w:hAnsi="Times New Roman" w:cs="Times New Roman"/>
          <w:b/>
          <w:i/>
          <w:iCs/>
          <w:sz w:val="22"/>
          <w:szCs w:val="22"/>
        </w:rPr>
        <w:t>Keyword</w:t>
      </w:r>
      <w:r>
        <w:rPr>
          <w:rFonts w:ascii="Times New Roman" w:hAnsi="Times New Roman" w:cs="Times New Roman"/>
          <w:b/>
          <w:i/>
          <w:iCs/>
          <w:sz w:val="22"/>
          <w:szCs w:val="22"/>
        </w:rPr>
        <w:t>:</w:t>
      </w:r>
      <w:r>
        <w:rPr>
          <w:rFonts w:ascii="Times New Roman" w:hAnsi="Times New Roman" w:cs="Times New Roman"/>
          <w:i/>
          <w:iCs/>
          <w:sz w:val="22"/>
          <w:szCs w:val="22"/>
        </w:rPr>
        <w:t xml:space="preserve"> </w:t>
      </w:r>
      <w:r>
        <w:rPr>
          <w:rFonts w:ascii="Times New Roman" w:hAnsi="Times New Roman"/>
          <w:i/>
          <w:iCs/>
          <w:sz w:val="22"/>
          <w:szCs w:val="22"/>
        </w:rPr>
        <w:t>Chronic Kidney Disease, hemoglobin, creatinine</w:t>
      </w:r>
      <w:r>
        <w:rPr>
          <w:rFonts w:ascii="Times New Roman" w:hAnsi="Times New Roman" w:cs="Times New Roman"/>
          <w:i/>
          <w:iCs/>
          <w:sz w:val="22"/>
          <w:szCs w:val="22"/>
        </w:rPr>
        <w:t>.</w:t>
      </w:r>
    </w:p>
    <w:p w14:paraId="3CF714EC" w14:textId="77777777" w:rsidR="005C0B80" w:rsidRDefault="005C0B80">
      <w:pPr>
        <w:spacing w:after="0"/>
        <w:jc w:val="center"/>
        <w:rPr>
          <w:rFonts w:ascii="Times New Roman" w:hAnsi="Times New Roman" w:cs="Times New Roman"/>
          <w:sz w:val="22"/>
          <w:szCs w:val="22"/>
        </w:rPr>
      </w:pPr>
    </w:p>
    <w:p w14:paraId="6DEA890F" w14:textId="77777777" w:rsidR="005C0B80" w:rsidRDefault="005C0B80">
      <w:pPr>
        <w:spacing w:after="0"/>
        <w:jc w:val="center"/>
        <w:rPr>
          <w:rFonts w:ascii="Times New Roman" w:hAnsi="Times New Roman" w:cs="Times New Roman"/>
          <w:sz w:val="22"/>
          <w:szCs w:val="22"/>
        </w:rPr>
      </w:pPr>
    </w:p>
    <w:p w14:paraId="5998F0CB" w14:textId="77777777" w:rsidR="005C0B80" w:rsidRDefault="003E6C9F">
      <w:pPr>
        <w:numPr>
          <w:ilvl w:val="0"/>
          <w:numId w:val="1"/>
        </w:numPr>
        <w:spacing w:after="0"/>
        <w:jc w:val="both"/>
        <w:rPr>
          <w:rFonts w:ascii="Times New Roman" w:hAnsi="Times New Roman" w:cs="Times New Roman"/>
          <w:b/>
          <w:bCs/>
          <w:iCs/>
          <w:sz w:val="24"/>
          <w:szCs w:val="24"/>
        </w:rPr>
      </w:pPr>
      <w:r>
        <w:rPr>
          <w:rFonts w:ascii="Times New Roman" w:hAnsi="Times New Roman" w:cs="Times New Roman"/>
          <w:b/>
          <w:bCs/>
          <w:sz w:val="24"/>
          <w:szCs w:val="24"/>
        </w:rPr>
        <w:t>Pendahuluan</w:t>
      </w:r>
    </w:p>
    <w:p w14:paraId="5B5A8EC2" w14:textId="77777777" w:rsidR="005C0B80" w:rsidRDefault="005C0B80">
      <w:pPr>
        <w:spacing w:after="0"/>
        <w:jc w:val="center"/>
        <w:rPr>
          <w:rFonts w:ascii="Times New Roman" w:hAnsi="Times New Roman" w:cs="Times New Roman"/>
          <w:iCs/>
        </w:rPr>
      </w:pPr>
    </w:p>
    <w:p w14:paraId="3C23A1B6"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 xml:space="preserve">Ginjal </w:t>
      </w:r>
      <w:r>
        <w:rPr>
          <w:rFonts w:ascii="Times New Roman" w:hAnsi="Times New Roman"/>
          <w:sz w:val="22"/>
          <w:szCs w:val="22"/>
        </w:rPr>
        <w:t>adalah organ tubuh manusia yang memiliki peran penting dalam mengatur hemodinamik tubuh dan sebagai tempat produksi hormon erythropoietin (EPO). Erythropoietin sendiri berfungsi sebagai hormon pemicu terjadinya erythropoiesis atau pembentukan sel darah mer</w:t>
      </w:r>
      <w:r>
        <w:rPr>
          <w:rFonts w:ascii="Times New Roman" w:hAnsi="Times New Roman"/>
          <w:sz w:val="22"/>
          <w:szCs w:val="22"/>
        </w:rPr>
        <w:t xml:space="preserve">ah yang baru (Wein et al, 2012).  Chronic Kidney Disease (CKD) adalah salah satu keadaan dimana ginjal mengalami kerusakan kronis dan akibatnya produksi dari EPO akan menurun sehingga mengakibatkan anemia. Anemia merupakan salah satu bentuk kompilasi umum </w:t>
      </w:r>
      <w:r>
        <w:rPr>
          <w:rFonts w:ascii="Times New Roman" w:hAnsi="Times New Roman"/>
          <w:sz w:val="22"/>
          <w:szCs w:val="22"/>
        </w:rPr>
        <w:t>yang ditemukan pada pasien dengan CKD (Kovesdy et al, 2006). Anemia yang dialami penderita CKD dihubungkan dengan penurunan kualitas hidup, peningkatan risiko penyakit kardiovaskuler, lama perwatan, penurunan fungsi kognitif dan bahkan kematian (KDOQIN NKF</w:t>
      </w:r>
      <w:r>
        <w:rPr>
          <w:rFonts w:ascii="Times New Roman" w:hAnsi="Times New Roman"/>
          <w:sz w:val="22"/>
          <w:szCs w:val="22"/>
        </w:rPr>
        <w:t>, 2006). Dewasa ini ada tiga jenis terapi yang sering digunakan yaitu peritorenal dialisis, transplantasi ginjal dan hemodialisis, (PERNEFRI, 2012).</w:t>
      </w:r>
    </w:p>
    <w:p w14:paraId="3DFF98E9"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Hemodialisis adalah suatu proses pengalihan darah dari tubuh melalui alat dialiser. Proses ini terjadi seca</w:t>
      </w:r>
      <w:r>
        <w:rPr>
          <w:rFonts w:ascii="Times New Roman" w:hAnsi="Times New Roman"/>
          <w:sz w:val="22"/>
          <w:szCs w:val="22"/>
        </w:rPr>
        <w:t>ra difusi dan ultrafiltrasi, yang akhirnya darah kembali lagi kedalam tubuh. Tujuan hemodialisis adalah membersihkan darah dari produk sisa-sisa metabolisme dan kelebihan air (Smeltzer, 2006; Baradero, 2008). Hemodialisis termasuk terapi yang memiliki ting</w:t>
      </w:r>
      <w:r>
        <w:rPr>
          <w:rFonts w:ascii="Times New Roman" w:hAnsi="Times New Roman"/>
          <w:sz w:val="22"/>
          <w:szCs w:val="22"/>
        </w:rPr>
        <w:t>kat efektifitas tinggi untuk pasien CDK, namun tindakan hemodialisis dapat menyebabkan beberapa komplikasi dan juga dapat menyebabkan anemia, meningkatnya kecenderungan perdarahan dan infeksi. Tindakan yang dapat dilakukan untuk mengevaluasi anemia pada pa</w:t>
      </w:r>
      <w:r>
        <w:rPr>
          <w:rFonts w:ascii="Times New Roman" w:hAnsi="Times New Roman"/>
          <w:sz w:val="22"/>
          <w:szCs w:val="22"/>
        </w:rPr>
        <w:t xml:space="preserve">sien CDK adalah pemeriksaan laboratorium yang meliputi hemoglobin, indeks eritrosit, jumlah dan jenis lekosit, dan jumlah trombosit), jumlah retikulosit absolut, kadar ferritin, saturasi transferin, kadar vitamin B12 dan kadar asam folat hal ini merupakan </w:t>
      </w:r>
      <w:r>
        <w:rPr>
          <w:rFonts w:ascii="Times New Roman" w:hAnsi="Times New Roman"/>
          <w:sz w:val="22"/>
          <w:szCs w:val="22"/>
        </w:rPr>
        <w:t xml:space="preserve">rekomendasi dari departemen </w:t>
      </w:r>
      <w:r>
        <w:rPr>
          <w:rFonts w:ascii="Times New Roman" w:hAnsi="Times New Roman"/>
          <w:i/>
          <w:iCs/>
          <w:sz w:val="22"/>
          <w:szCs w:val="22"/>
        </w:rPr>
        <w:t>National Kidney Foundation</w:t>
      </w:r>
      <w:r>
        <w:rPr>
          <w:rFonts w:ascii="Times New Roman" w:hAnsi="Times New Roman"/>
          <w:sz w:val="22"/>
          <w:szCs w:val="22"/>
        </w:rPr>
        <w:t xml:space="preserve"> (WHO, 2011; KDIGO,2012).</w:t>
      </w:r>
    </w:p>
    <w:p w14:paraId="1199FBAA"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Hal yang menjadi pertanyaan bagi peneliti yaitu apakah ada hubungan antara kadar hemoglobin dengan kadar kreatinin darah. Kadar kreatinin disini sebagai indeks dalam pengukuran</w:t>
      </w:r>
      <w:r>
        <w:rPr>
          <w:rFonts w:ascii="Times New Roman" w:hAnsi="Times New Roman"/>
          <w:sz w:val="22"/>
          <w:szCs w:val="22"/>
        </w:rPr>
        <w:t xml:space="preserve"> fungsi ginjal. Penelitian oleh Nurko et al (2006) yang mengatakan bahwa prevalensi anemia meningkat seiring dengan penurunan fungsi ginjal. Anemia  juga menjadi prediktor bagi prognosis penderita CDK. Untuk mengetahui fungsi ginjal dapat dilakukan pemerik</w:t>
      </w:r>
      <w:r>
        <w:rPr>
          <w:rFonts w:ascii="Times New Roman" w:hAnsi="Times New Roman"/>
          <w:sz w:val="22"/>
          <w:szCs w:val="22"/>
        </w:rPr>
        <w:t>saan kreatinin serum dan pemeriksaan kreatinin serum ini menjadi salah satu petanda paling umum dan mudah dilakukan (Alfonso et al, 2016). Berdasarkan penjelasan diatas peneliti ingin mengetahui bagaimana hubungan kadar hemoglobin dengan kadar kreatinin pa</w:t>
      </w:r>
      <w:r>
        <w:rPr>
          <w:rFonts w:ascii="Times New Roman" w:hAnsi="Times New Roman"/>
          <w:sz w:val="22"/>
          <w:szCs w:val="22"/>
        </w:rPr>
        <w:t>da penderita Penyakit Ginjal Kronik yang mendaptkan transfusi.</w:t>
      </w:r>
    </w:p>
    <w:p w14:paraId="5B585424" w14:textId="77777777" w:rsidR="005C0B80" w:rsidRDefault="005C0B80">
      <w:pPr>
        <w:spacing w:after="0"/>
        <w:ind w:firstLine="420"/>
        <w:jc w:val="both"/>
        <w:rPr>
          <w:rFonts w:ascii="Times New Roman" w:hAnsi="Times New Roman"/>
          <w:sz w:val="22"/>
          <w:szCs w:val="22"/>
        </w:rPr>
      </w:pPr>
    </w:p>
    <w:p w14:paraId="66A0C96F" w14:textId="77777777" w:rsidR="005C0B80" w:rsidRDefault="003E6C9F">
      <w:pPr>
        <w:numPr>
          <w:ilvl w:val="0"/>
          <w:numId w:val="1"/>
        </w:numPr>
        <w:spacing w:after="0"/>
        <w:jc w:val="both"/>
        <w:rPr>
          <w:rFonts w:ascii="Times New Roman" w:hAnsi="Times New Roman" w:cs="Times New Roman"/>
          <w:b/>
          <w:bCs/>
          <w:iCs/>
          <w:sz w:val="24"/>
          <w:szCs w:val="24"/>
        </w:rPr>
      </w:pPr>
      <w:r>
        <w:rPr>
          <w:rFonts w:ascii="Times New Roman" w:hAnsi="Times New Roman" w:cs="Times New Roman"/>
          <w:b/>
          <w:bCs/>
          <w:sz w:val="24"/>
          <w:szCs w:val="24"/>
        </w:rPr>
        <w:t>Metode</w:t>
      </w:r>
    </w:p>
    <w:p w14:paraId="415C97CB" w14:textId="77777777" w:rsidR="005C0B80" w:rsidRDefault="005C0B80">
      <w:pPr>
        <w:spacing w:after="0"/>
        <w:jc w:val="both"/>
        <w:rPr>
          <w:rFonts w:ascii="Times New Roman" w:hAnsi="Times New Roman" w:cs="Times New Roman"/>
          <w:i/>
          <w:iCs/>
          <w:sz w:val="22"/>
          <w:szCs w:val="22"/>
        </w:rPr>
      </w:pPr>
    </w:p>
    <w:p w14:paraId="183812E0" w14:textId="77777777" w:rsidR="005C0B80" w:rsidRDefault="003E6C9F">
      <w:pPr>
        <w:autoSpaceDE w:val="0"/>
        <w:autoSpaceDN w:val="0"/>
        <w:adjustRightInd w:val="0"/>
        <w:spacing w:after="0" w:line="240" w:lineRule="auto"/>
        <w:ind w:firstLine="420"/>
        <w:jc w:val="both"/>
        <w:rPr>
          <w:rFonts w:ascii="Times New Roman" w:hAnsi="Times New Roman"/>
          <w:sz w:val="24"/>
          <w:szCs w:val="24"/>
        </w:rPr>
      </w:pPr>
      <w:r>
        <w:rPr>
          <w:rFonts w:ascii="Times New Roman" w:hAnsi="Times New Roman"/>
          <w:sz w:val="24"/>
          <w:szCs w:val="24"/>
        </w:rPr>
        <w:t>Desain penelitian adalah cross sectional study untuk mengetahui hubungan kadar hemoglobin dan ureum kreatinin pada pasien gagal ginjal kronik pasca mendapat transfusi. Penelitian dilak</w:t>
      </w:r>
      <w:r>
        <w:rPr>
          <w:rFonts w:ascii="Times New Roman" w:hAnsi="Times New Roman"/>
          <w:sz w:val="24"/>
          <w:szCs w:val="24"/>
        </w:rPr>
        <w:t xml:space="preserve">ukan dari bulan Januari 2020 sampai September 2020 di Rumah Sakit Tentara Wira Tamtama Semarang. Jumlah sampel pada penelitian ini sebanyak 20. Pengambilan data dilakukan secara langsung atau data primer dari hasil pemeriksaan Hb dan Kreatinin pasien yang </w:t>
      </w:r>
      <w:r>
        <w:rPr>
          <w:rFonts w:ascii="Times New Roman" w:hAnsi="Times New Roman"/>
          <w:sz w:val="24"/>
          <w:szCs w:val="24"/>
        </w:rPr>
        <w:t>sudah memalakukan transfusi, dengan kriteria inklusi: Pasien dengan Hemodialisis dan pasien yang sudah melakukan transfusi dan bersedia menjadi subjek penelitian. Data dianalisis menggunakan uji statistik</w:t>
      </w:r>
      <w:r>
        <w:rPr>
          <w:rFonts w:ascii="Times New Roman" w:hAnsi="Times New Roman"/>
          <w:sz w:val="24"/>
          <w:szCs w:val="24"/>
        </w:rPr>
        <w:t>.</w:t>
      </w:r>
    </w:p>
    <w:p w14:paraId="3A38E3D5" w14:textId="77777777" w:rsidR="005C0B80" w:rsidRDefault="005C0B80">
      <w:pPr>
        <w:autoSpaceDE w:val="0"/>
        <w:autoSpaceDN w:val="0"/>
        <w:adjustRightInd w:val="0"/>
        <w:spacing w:after="0" w:line="240" w:lineRule="auto"/>
        <w:jc w:val="both"/>
        <w:rPr>
          <w:rFonts w:ascii="Times New Roman" w:hAnsi="Times New Roman"/>
          <w:sz w:val="24"/>
          <w:szCs w:val="24"/>
        </w:rPr>
      </w:pPr>
    </w:p>
    <w:p w14:paraId="33892EA8" w14:textId="77777777" w:rsidR="005C0B80" w:rsidRDefault="005C0B80">
      <w:pPr>
        <w:autoSpaceDE w:val="0"/>
        <w:autoSpaceDN w:val="0"/>
        <w:adjustRightInd w:val="0"/>
        <w:spacing w:after="0" w:line="240" w:lineRule="auto"/>
        <w:jc w:val="both"/>
        <w:rPr>
          <w:rFonts w:ascii="Times New Roman" w:hAnsi="Times New Roman"/>
          <w:sz w:val="24"/>
          <w:szCs w:val="24"/>
        </w:rPr>
      </w:pPr>
    </w:p>
    <w:p w14:paraId="30CFB96D" w14:textId="77777777" w:rsidR="005C0B80" w:rsidRDefault="005C0B80">
      <w:pPr>
        <w:autoSpaceDE w:val="0"/>
        <w:autoSpaceDN w:val="0"/>
        <w:adjustRightInd w:val="0"/>
        <w:spacing w:after="0" w:line="240" w:lineRule="auto"/>
        <w:jc w:val="both"/>
        <w:rPr>
          <w:rFonts w:ascii="Times New Roman" w:hAnsi="Times New Roman"/>
          <w:sz w:val="24"/>
          <w:szCs w:val="24"/>
        </w:rPr>
      </w:pPr>
    </w:p>
    <w:p w14:paraId="2C094EA2" w14:textId="77777777" w:rsidR="005C0B80" w:rsidRDefault="005C0B80">
      <w:pPr>
        <w:autoSpaceDE w:val="0"/>
        <w:autoSpaceDN w:val="0"/>
        <w:adjustRightInd w:val="0"/>
        <w:spacing w:after="0" w:line="240" w:lineRule="auto"/>
        <w:jc w:val="both"/>
        <w:rPr>
          <w:rFonts w:ascii="Times New Roman" w:hAnsi="Times New Roman"/>
          <w:sz w:val="24"/>
          <w:szCs w:val="24"/>
        </w:rPr>
      </w:pPr>
    </w:p>
    <w:p w14:paraId="7C1A73FD" w14:textId="77777777" w:rsidR="005C0B80" w:rsidRDefault="003E6C9F">
      <w:pPr>
        <w:numPr>
          <w:ilvl w:val="0"/>
          <w:numId w:val="1"/>
        </w:numPr>
        <w:spacing w:after="0"/>
        <w:jc w:val="both"/>
        <w:rPr>
          <w:rFonts w:ascii="Times New Roman" w:hAnsi="Times New Roman" w:cs="Times New Roman"/>
          <w:b/>
          <w:bCs/>
          <w:iCs/>
          <w:sz w:val="24"/>
          <w:szCs w:val="24"/>
        </w:rPr>
      </w:pPr>
      <w:r>
        <w:rPr>
          <w:rFonts w:ascii="Times New Roman" w:hAnsi="Times New Roman" w:cs="Times New Roman"/>
          <w:b/>
          <w:bCs/>
          <w:sz w:val="24"/>
          <w:szCs w:val="24"/>
        </w:rPr>
        <w:t>Hasil dan Pembahasan</w:t>
      </w:r>
    </w:p>
    <w:p w14:paraId="1DE0BAA1" w14:textId="77777777" w:rsidR="005C0B80" w:rsidRDefault="005C0B80">
      <w:pPr>
        <w:spacing w:after="0"/>
        <w:jc w:val="both"/>
        <w:rPr>
          <w:rFonts w:ascii="Times New Roman" w:hAnsi="Times New Roman" w:cs="Times New Roman"/>
          <w:sz w:val="22"/>
          <w:szCs w:val="22"/>
        </w:rPr>
      </w:pPr>
    </w:p>
    <w:p w14:paraId="516486EF" w14:textId="77777777" w:rsidR="005C0B80" w:rsidRDefault="003E6C9F">
      <w:pPr>
        <w:spacing w:after="0"/>
        <w:ind w:firstLine="420"/>
        <w:jc w:val="both"/>
        <w:rPr>
          <w:rFonts w:ascii="Times New Roman" w:hAnsi="Times New Roman" w:cs="Times New Roman"/>
          <w:sz w:val="22"/>
          <w:szCs w:val="22"/>
        </w:rPr>
      </w:pPr>
      <w:r>
        <w:rPr>
          <w:rFonts w:ascii="Times New Roman" w:hAnsi="Times New Roman"/>
          <w:sz w:val="22"/>
          <w:szCs w:val="22"/>
        </w:rPr>
        <w:t xml:space="preserve">Setelah </w:t>
      </w:r>
      <w:r>
        <w:rPr>
          <w:rFonts w:ascii="Times New Roman" w:hAnsi="Times New Roman"/>
          <w:sz w:val="22"/>
          <w:szCs w:val="22"/>
        </w:rPr>
        <w:t xml:space="preserve">dilakukan penelitian, maka langka awal dalam menganalisis data yaitu dengan mengambil dan mengelompokkan variabel yaitu variabel bebas dan terikat untuk kemudian dianalisis hubungannya. Variabel bebasnya yaitu kadar hemoglobin darah pada pasien dengan CDK </w:t>
      </w:r>
      <w:r>
        <w:rPr>
          <w:rFonts w:ascii="Times New Roman" w:hAnsi="Times New Roman"/>
          <w:sz w:val="22"/>
          <w:szCs w:val="22"/>
        </w:rPr>
        <w:t>dibagi menjadi 2 kelompok yaitu Hb rendah atau anemia dengan syarat Hb &lt; 12 gr/dL dan Hb normal dengan syarat ≥ 12 gr/dL. Variabel terikatnya yaitu kadar kreatinin, dibagi juga menjadi 2 kelompok yaitu normal dengan range 0,5-1,5 mg/dL dan tinggi &gt; 1,5 mg/</w:t>
      </w:r>
      <w:r>
        <w:rPr>
          <w:rFonts w:ascii="Times New Roman" w:hAnsi="Times New Roman"/>
          <w:sz w:val="22"/>
          <w:szCs w:val="22"/>
        </w:rPr>
        <w:t>dL. Data yang didapat dari 20 subjek penelitian ini dapat dilihat pada tabel 1 berikut</w:t>
      </w:r>
      <w:r>
        <w:rPr>
          <w:rFonts w:ascii="Times New Roman" w:hAnsi="Times New Roman" w:cs="Times New Roman"/>
          <w:sz w:val="22"/>
          <w:szCs w:val="22"/>
        </w:rPr>
        <w:t>.</w:t>
      </w:r>
    </w:p>
    <w:p w14:paraId="18994D80" w14:textId="77777777" w:rsidR="005C0B80" w:rsidRDefault="005C0B80">
      <w:pPr>
        <w:spacing w:after="0"/>
        <w:jc w:val="center"/>
        <w:rPr>
          <w:rFonts w:ascii="Times New Roman" w:hAnsi="Times New Roman"/>
          <w:sz w:val="22"/>
          <w:szCs w:val="22"/>
        </w:rPr>
      </w:pPr>
    </w:p>
    <w:p w14:paraId="4C3EF6B3" w14:textId="77777777" w:rsidR="005C0B80" w:rsidRDefault="003E6C9F">
      <w:pPr>
        <w:spacing w:after="0"/>
        <w:jc w:val="center"/>
        <w:rPr>
          <w:rFonts w:ascii="Times New Roman" w:hAnsi="Times New Roman"/>
          <w:sz w:val="22"/>
          <w:szCs w:val="22"/>
        </w:rPr>
      </w:pPr>
      <w:r>
        <w:rPr>
          <w:rFonts w:ascii="Times New Roman" w:hAnsi="Times New Roman"/>
          <w:sz w:val="22"/>
          <w:szCs w:val="22"/>
        </w:rPr>
        <w:t>Tabel 1. Karakteristik Pasien dengan CDK</w:t>
      </w:r>
    </w:p>
    <w:tbl>
      <w:tblPr>
        <w:tblW w:w="0" w:type="auto"/>
        <w:tblInd w:w="101" w:type="dxa"/>
        <w:tblLook w:val="04A0" w:firstRow="1" w:lastRow="0" w:firstColumn="1" w:lastColumn="0" w:noHBand="0" w:noVBand="1"/>
      </w:tblPr>
      <w:tblGrid>
        <w:gridCol w:w="2834"/>
        <w:gridCol w:w="2665"/>
        <w:gridCol w:w="2650"/>
      </w:tblGrid>
      <w:tr w:rsidR="005C0B80" w14:paraId="0A76F155" w14:textId="77777777">
        <w:tc>
          <w:tcPr>
            <w:tcW w:w="2871" w:type="dxa"/>
            <w:tcBorders>
              <w:top w:val="single" w:sz="4" w:space="0" w:color="auto"/>
              <w:bottom w:val="single" w:sz="4" w:space="0" w:color="auto"/>
            </w:tcBorders>
            <w:shd w:val="clear" w:color="auto" w:fill="auto"/>
          </w:tcPr>
          <w:p w14:paraId="268B0AA5"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Jenis data</w:t>
            </w:r>
          </w:p>
        </w:tc>
        <w:tc>
          <w:tcPr>
            <w:tcW w:w="2705" w:type="dxa"/>
            <w:tcBorders>
              <w:top w:val="single" w:sz="4" w:space="0" w:color="auto"/>
              <w:bottom w:val="single" w:sz="4" w:space="0" w:color="auto"/>
            </w:tcBorders>
            <w:shd w:val="clear" w:color="auto" w:fill="auto"/>
          </w:tcPr>
          <w:p w14:paraId="3F2418B5"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Range</w:t>
            </w:r>
          </w:p>
        </w:tc>
        <w:tc>
          <w:tcPr>
            <w:tcW w:w="2689" w:type="dxa"/>
            <w:tcBorders>
              <w:top w:val="single" w:sz="4" w:space="0" w:color="auto"/>
              <w:bottom w:val="single" w:sz="4" w:space="0" w:color="auto"/>
            </w:tcBorders>
            <w:shd w:val="clear" w:color="auto" w:fill="auto"/>
          </w:tcPr>
          <w:p w14:paraId="66D4BD81"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Rerata</w:t>
            </w:r>
          </w:p>
        </w:tc>
      </w:tr>
      <w:tr w:rsidR="005C0B80" w14:paraId="07838CDA" w14:textId="77777777">
        <w:tc>
          <w:tcPr>
            <w:tcW w:w="2871" w:type="dxa"/>
            <w:tcBorders>
              <w:top w:val="single" w:sz="4" w:space="0" w:color="auto"/>
            </w:tcBorders>
            <w:shd w:val="clear" w:color="auto" w:fill="auto"/>
          </w:tcPr>
          <w:p w14:paraId="1014F9D6" w14:textId="77777777" w:rsidR="005C0B80" w:rsidRDefault="003E6C9F">
            <w:pPr>
              <w:spacing w:line="276" w:lineRule="auto"/>
              <w:jc w:val="both"/>
              <w:rPr>
                <w:rFonts w:ascii="Times New Roman" w:hAnsi="Times New Roman" w:cs="Times New Roman"/>
                <w:sz w:val="22"/>
                <w:szCs w:val="22"/>
              </w:rPr>
            </w:pPr>
            <w:r>
              <w:rPr>
                <w:rFonts w:ascii="Times New Roman" w:hAnsi="Times New Roman" w:cs="Times New Roman"/>
                <w:sz w:val="22"/>
                <w:szCs w:val="22"/>
              </w:rPr>
              <w:t>Usia (tahun)</w:t>
            </w:r>
          </w:p>
        </w:tc>
        <w:tc>
          <w:tcPr>
            <w:tcW w:w="2705" w:type="dxa"/>
            <w:tcBorders>
              <w:top w:val="single" w:sz="4" w:space="0" w:color="auto"/>
            </w:tcBorders>
            <w:shd w:val="clear" w:color="auto" w:fill="auto"/>
          </w:tcPr>
          <w:p w14:paraId="0FC143D0"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20 - 79</w:t>
            </w:r>
          </w:p>
        </w:tc>
        <w:tc>
          <w:tcPr>
            <w:tcW w:w="2689" w:type="dxa"/>
            <w:tcBorders>
              <w:top w:val="single" w:sz="4" w:space="0" w:color="auto"/>
            </w:tcBorders>
            <w:shd w:val="clear" w:color="auto" w:fill="auto"/>
          </w:tcPr>
          <w:p w14:paraId="04533777"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47,45</w:t>
            </w:r>
          </w:p>
        </w:tc>
      </w:tr>
      <w:tr w:rsidR="005C0B80" w14:paraId="1E774B7D" w14:textId="77777777">
        <w:tc>
          <w:tcPr>
            <w:tcW w:w="2871" w:type="dxa"/>
            <w:shd w:val="clear" w:color="auto" w:fill="auto"/>
          </w:tcPr>
          <w:p w14:paraId="5CBF38A6" w14:textId="77777777" w:rsidR="005C0B80" w:rsidRDefault="003E6C9F">
            <w:pPr>
              <w:spacing w:line="276" w:lineRule="auto"/>
              <w:jc w:val="both"/>
              <w:rPr>
                <w:rFonts w:ascii="Times New Roman" w:hAnsi="Times New Roman" w:cs="Times New Roman"/>
                <w:sz w:val="22"/>
                <w:szCs w:val="22"/>
              </w:rPr>
            </w:pPr>
            <w:r>
              <w:rPr>
                <w:rFonts w:ascii="Times New Roman" w:hAnsi="Times New Roman" w:cs="Times New Roman"/>
                <w:sz w:val="22"/>
                <w:szCs w:val="22"/>
              </w:rPr>
              <w:t>Kadar Hb (gr/dL</w:t>
            </w:r>
          </w:p>
        </w:tc>
        <w:tc>
          <w:tcPr>
            <w:tcW w:w="2705" w:type="dxa"/>
            <w:shd w:val="clear" w:color="auto" w:fill="auto"/>
          </w:tcPr>
          <w:p w14:paraId="2EED0DA6"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7,1 - 13,4</w:t>
            </w:r>
          </w:p>
        </w:tc>
        <w:tc>
          <w:tcPr>
            <w:tcW w:w="2689" w:type="dxa"/>
            <w:shd w:val="clear" w:color="auto" w:fill="auto"/>
          </w:tcPr>
          <w:p w14:paraId="57316EDF"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10,08</w:t>
            </w:r>
          </w:p>
        </w:tc>
      </w:tr>
      <w:tr w:rsidR="005C0B80" w14:paraId="7013D497" w14:textId="77777777">
        <w:tc>
          <w:tcPr>
            <w:tcW w:w="2871" w:type="dxa"/>
            <w:tcBorders>
              <w:bottom w:val="single" w:sz="4" w:space="0" w:color="auto"/>
            </w:tcBorders>
            <w:shd w:val="clear" w:color="auto" w:fill="auto"/>
          </w:tcPr>
          <w:p w14:paraId="6197B228" w14:textId="77777777" w:rsidR="005C0B80" w:rsidRDefault="003E6C9F">
            <w:pPr>
              <w:spacing w:line="276" w:lineRule="auto"/>
              <w:jc w:val="both"/>
              <w:rPr>
                <w:rFonts w:ascii="Times New Roman" w:hAnsi="Times New Roman" w:cs="Times New Roman"/>
                <w:sz w:val="22"/>
                <w:szCs w:val="22"/>
              </w:rPr>
            </w:pPr>
            <w:r>
              <w:rPr>
                <w:rFonts w:ascii="Times New Roman" w:hAnsi="Times New Roman" w:cs="Times New Roman"/>
                <w:sz w:val="22"/>
                <w:szCs w:val="22"/>
              </w:rPr>
              <w:t>Kadar Krearinin (mg/dL</w:t>
            </w:r>
          </w:p>
        </w:tc>
        <w:tc>
          <w:tcPr>
            <w:tcW w:w="2705" w:type="dxa"/>
            <w:tcBorders>
              <w:bottom w:val="single" w:sz="4" w:space="0" w:color="auto"/>
            </w:tcBorders>
            <w:shd w:val="clear" w:color="auto" w:fill="auto"/>
          </w:tcPr>
          <w:p w14:paraId="139A87C5"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 xml:space="preserve">1,45 - </w:t>
            </w:r>
            <w:r>
              <w:rPr>
                <w:rFonts w:ascii="Times New Roman" w:hAnsi="Times New Roman" w:cs="Times New Roman"/>
                <w:sz w:val="22"/>
                <w:szCs w:val="22"/>
              </w:rPr>
              <w:t>21,67</w:t>
            </w:r>
          </w:p>
        </w:tc>
        <w:tc>
          <w:tcPr>
            <w:tcW w:w="2689" w:type="dxa"/>
            <w:tcBorders>
              <w:bottom w:val="single" w:sz="4" w:space="0" w:color="auto"/>
            </w:tcBorders>
            <w:shd w:val="clear" w:color="auto" w:fill="auto"/>
          </w:tcPr>
          <w:p w14:paraId="2A573EE0" w14:textId="77777777" w:rsidR="005C0B80" w:rsidRDefault="003E6C9F">
            <w:pPr>
              <w:spacing w:line="276" w:lineRule="auto"/>
              <w:jc w:val="center"/>
              <w:rPr>
                <w:rFonts w:ascii="Times New Roman" w:hAnsi="Times New Roman" w:cs="Times New Roman"/>
                <w:sz w:val="22"/>
                <w:szCs w:val="22"/>
              </w:rPr>
            </w:pPr>
            <w:r>
              <w:rPr>
                <w:rFonts w:ascii="Times New Roman" w:hAnsi="Times New Roman" w:cs="Times New Roman"/>
                <w:sz w:val="22"/>
                <w:szCs w:val="22"/>
              </w:rPr>
              <w:t>11,60</w:t>
            </w:r>
          </w:p>
        </w:tc>
      </w:tr>
    </w:tbl>
    <w:p w14:paraId="43CF8E0E" w14:textId="77777777" w:rsidR="005C0B80" w:rsidRDefault="003E6C9F">
      <w:pPr>
        <w:spacing w:after="0"/>
        <w:jc w:val="center"/>
        <w:rPr>
          <w:rFonts w:ascii="Times New Roman" w:hAnsi="Times New Roman"/>
          <w:sz w:val="22"/>
          <w:szCs w:val="22"/>
        </w:rPr>
      </w:pPr>
      <w:r>
        <w:rPr>
          <w:rFonts w:ascii="Times New Roman" w:hAnsi="Times New Roman"/>
          <w:sz w:val="22"/>
          <w:szCs w:val="22"/>
        </w:rPr>
        <w:t>Sumber : Data Primer yang diolah tahun 2020</w:t>
      </w:r>
    </w:p>
    <w:p w14:paraId="0C8989D4" w14:textId="77777777" w:rsidR="005C0B80" w:rsidRDefault="005C0B80">
      <w:pPr>
        <w:spacing w:after="0"/>
        <w:ind w:firstLine="420"/>
        <w:jc w:val="both"/>
        <w:rPr>
          <w:rFonts w:ascii="Times New Roman" w:hAnsi="Times New Roman" w:cs="Times New Roman"/>
          <w:sz w:val="22"/>
          <w:szCs w:val="22"/>
        </w:rPr>
      </w:pPr>
    </w:p>
    <w:p w14:paraId="13793C38"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Kemudian data dianalis lagi sesuai dengan variabel penelitian yang dikelompokkan seperti yang sudah dijelaskan diatas, dengan hasil sebagai berikut:</w:t>
      </w:r>
    </w:p>
    <w:p w14:paraId="2D07FEA5" w14:textId="77777777" w:rsidR="005C0B80" w:rsidRDefault="005C0B80">
      <w:pPr>
        <w:spacing w:after="0"/>
        <w:ind w:firstLine="420"/>
        <w:jc w:val="center"/>
        <w:rPr>
          <w:rFonts w:ascii="Times New Roman" w:hAnsi="Times New Roman"/>
          <w:sz w:val="22"/>
          <w:szCs w:val="22"/>
        </w:rPr>
      </w:pPr>
    </w:p>
    <w:p w14:paraId="26C0D2AA" w14:textId="77777777" w:rsidR="005C0B80" w:rsidRDefault="003E6C9F">
      <w:pPr>
        <w:spacing w:after="0"/>
        <w:ind w:firstLine="420"/>
        <w:jc w:val="center"/>
        <w:rPr>
          <w:rFonts w:ascii="Times New Roman" w:hAnsi="Times New Roman"/>
          <w:sz w:val="22"/>
          <w:szCs w:val="22"/>
        </w:rPr>
      </w:pPr>
      <w:r>
        <w:rPr>
          <w:rFonts w:ascii="Times New Roman" w:hAnsi="Times New Roman"/>
          <w:sz w:val="22"/>
          <w:szCs w:val="22"/>
        </w:rPr>
        <w:t xml:space="preserve">Tabel 2. Kadar Hemoglobin dan Kadar </w:t>
      </w:r>
      <w:r>
        <w:rPr>
          <w:rFonts w:ascii="Times New Roman" w:hAnsi="Times New Roman"/>
          <w:sz w:val="22"/>
          <w:szCs w:val="22"/>
        </w:rPr>
        <w:t>Kreatinin pasien CDK setelah mendapatkan transfusi</w:t>
      </w:r>
    </w:p>
    <w:tbl>
      <w:tblPr>
        <w:tblW w:w="8274" w:type="dxa"/>
        <w:jc w:val="center"/>
        <w:tblLook w:val="04A0" w:firstRow="1" w:lastRow="0" w:firstColumn="1" w:lastColumn="0" w:noHBand="0" w:noVBand="1"/>
      </w:tblPr>
      <w:tblGrid>
        <w:gridCol w:w="1428"/>
        <w:gridCol w:w="643"/>
        <w:gridCol w:w="587"/>
        <w:gridCol w:w="615"/>
        <w:gridCol w:w="602"/>
        <w:gridCol w:w="2391"/>
        <w:gridCol w:w="2008"/>
      </w:tblGrid>
      <w:tr w:rsidR="005C0B80" w14:paraId="4DD19F0C" w14:textId="77777777">
        <w:trPr>
          <w:jc w:val="center"/>
        </w:trPr>
        <w:tc>
          <w:tcPr>
            <w:tcW w:w="1428" w:type="dxa"/>
            <w:vMerge w:val="restart"/>
            <w:tcBorders>
              <w:top w:val="single" w:sz="4" w:space="0" w:color="auto"/>
            </w:tcBorders>
            <w:shd w:val="clear" w:color="auto" w:fill="auto"/>
            <w:vAlign w:val="center"/>
          </w:tcPr>
          <w:p w14:paraId="4E5E8B9D" w14:textId="77777777" w:rsidR="005C0B80" w:rsidRDefault="005C0B80">
            <w:pPr>
              <w:jc w:val="center"/>
              <w:rPr>
                <w:rFonts w:ascii="Times New Roman" w:hAnsi="Times New Roman" w:cs="Times New Roman"/>
                <w:sz w:val="22"/>
                <w:szCs w:val="22"/>
              </w:rPr>
            </w:pPr>
          </w:p>
        </w:tc>
        <w:tc>
          <w:tcPr>
            <w:tcW w:w="2447" w:type="dxa"/>
            <w:gridSpan w:val="4"/>
            <w:tcBorders>
              <w:top w:val="single" w:sz="4" w:space="0" w:color="auto"/>
              <w:bottom w:val="single" w:sz="4" w:space="0" w:color="auto"/>
            </w:tcBorders>
            <w:shd w:val="clear" w:color="auto" w:fill="auto"/>
            <w:vAlign w:val="center"/>
          </w:tcPr>
          <w:p w14:paraId="1C1EE74B"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Kadar Kreatinin</w:t>
            </w:r>
          </w:p>
        </w:tc>
        <w:tc>
          <w:tcPr>
            <w:tcW w:w="2391" w:type="dxa"/>
            <w:vMerge w:val="restart"/>
            <w:tcBorders>
              <w:top w:val="single" w:sz="4" w:space="0" w:color="auto"/>
              <w:bottom w:val="single" w:sz="4" w:space="0" w:color="auto"/>
            </w:tcBorders>
            <w:shd w:val="clear" w:color="auto" w:fill="auto"/>
            <w:vAlign w:val="center"/>
          </w:tcPr>
          <w:p w14:paraId="689BF93E"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P</w:t>
            </w:r>
          </w:p>
        </w:tc>
        <w:tc>
          <w:tcPr>
            <w:tcW w:w="2008" w:type="dxa"/>
            <w:vMerge w:val="restart"/>
            <w:tcBorders>
              <w:top w:val="single" w:sz="4" w:space="0" w:color="auto"/>
            </w:tcBorders>
            <w:shd w:val="clear" w:color="auto" w:fill="auto"/>
            <w:vAlign w:val="center"/>
          </w:tcPr>
          <w:p w14:paraId="42B5A6ED"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OR</w:t>
            </w:r>
          </w:p>
        </w:tc>
      </w:tr>
      <w:tr w:rsidR="005C0B80" w14:paraId="060B0853" w14:textId="77777777">
        <w:trPr>
          <w:jc w:val="center"/>
        </w:trPr>
        <w:tc>
          <w:tcPr>
            <w:tcW w:w="1428" w:type="dxa"/>
            <w:vMerge/>
            <w:shd w:val="clear" w:color="auto" w:fill="auto"/>
            <w:vAlign w:val="center"/>
          </w:tcPr>
          <w:p w14:paraId="7DCF7E1A" w14:textId="77777777" w:rsidR="005C0B80" w:rsidRDefault="005C0B80">
            <w:pPr>
              <w:jc w:val="center"/>
              <w:rPr>
                <w:rFonts w:ascii="Times New Roman" w:hAnsi="Times New Roman" w:cs="Times New Roman"/>
                <w:sz w:val="22"/>
                <w:szCs w:val="22"/>
              </w:rPr>
            </w:pPr>
          </w:p>
        </w:tc>
        <w:tc>
          <w:tcPr>
            <w:tcW w:w="1230" w:type="dxa"/>
            <w:gridSpan w:val="2"/>
            <w:tcBorders>
              <w:top w:val="single" w:sz="4" w:space="0" w:color="auto"/>
              <w:bottom w:val="single" w:sz="4" w:space="0" w:color="auto"/>
            </w:tcBorders>
            <w:shd w:val="clear" w:color="auto" w:fill="auto"/>
            <w:vAlign w:val="center"/>
          </w:tcPr>
          <w:p w14:paraId="1C25971F"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Normal</w:t>
            </w:r>
          </w:p>
        </w:tc>
        <w:tc>
          <w:tcPr>
            <w:tcW w:w="1217" w:type="dxa"/>
            <w:gridSpan w:val="2"/>
            <w:tcBorders>
              <w:top w:val="single" w:sz="4" w:space="0" w:color="auto"/>
              <w:bottom w:val="single" w:sz="4" w:space="0" w:color="auto"/>
            </w:tcBorders>
            <w:shd w:val="clear" w:color="auto" w:fill="auto"/>
            <w:vAlign w:val="center"/>
          </w:tcPr>
          <w:p w14:paraId="6923347C"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Tinggi</w:t>
            </w:r>
          </w:p>
        </w:tc>
        <w:tc>
          <w:tcPr>
            <w:tcW w:w="2391" w:type="dxa"/>
            <w:vMerge/>
            <w:tcBorders>
              <w:top w:val="single" w:sz="4" w:space="0" w:color="auto"/>
            </w:tcBorders>
            <w:shd w:val="clear" w:color="auto" w:fill="auto"/>
          </w:tcPr>
          <w:p w14:paraId="06A16A0B" w14:textId="77777777" w:rsidR="005C0B80" w:rsidRDefault="005C0B80">
            <w:pPr>
              <w:jc w:val="both"/>
              <w:rPr>
                <w:rFonts w:ascii="Times New Roman" w:hAnsi="Times New Roman" w:cs="Times New Roman"/>
                <w:sz w:val="22"/>
                <w:szCs w:val="22"/>
              </w:rPr>
            </w:pPr>
          </w:p>
        </w:tc>
        <w:tc>
          <w:tcPr>
            <w:tcW w:w="2008" w:type="dxa"/>
            <w:vMerge/>
            <w:shd w:val="clear" w:color="auto" w:fill="auto"/>
          </w:tcPr>
          <w:p w14:paraId="796DD82C" w14:textId="77777777" w:rsidR="005C0B80" w:rsidRDefault="005C0B80">
            <w:pPr>
              <w:jc w:val="both"/>
              <w:rPr>
                <w:rFonts w:ascii="Times New Roman" w:hAnsi="Times New Roman" w:cs="Times New Roman"/>
                <w:sz w:val="22"/>
                <w:szCs w:val="22"/>
              </w:rPr>
            </w:pPr>
          </w:p>
        </w:tc>
      </w:tr>
      <w:tr w:rsidR="005C0B80" w14:paraId="18735B43" w14:textId="77777777">
        <w:trPr>
          <w:jc w:val="center"/>
        </w:trPr>
        <w:tc>
          <w:tcPr>
            <w:tcW w:w="1428" w:type="dxa"/>
            <w:vMerge/>
            <w:tcBorders>
              <w:bottom w:val="single" w:sz="4" w:space="0" w:color="auto"/>
            </w:tcBorders>
            <w:shd w:val="clear" w:color="auto" w:fill="auto"/>
            <w:vAlign w:val="center"/>
          </w:tcPr>
          <w:p w14:paraId="704B00D6" w14:textId="77777777" w:rsidR="005C0B80" w:rsidRDefault="005C0B80">
            <w:pPr>
              <w:jc w:val="center"/>
              <w:rPr>
                <w:rFonts w:ascii="Times New Roman" w:hAnsi="Times New Roman" w:cs="Times New Roman"/>
                <w:sz w:val="22"/>
                <w:szCs w:val="22"/>
              </w:rPr>
            </w:pPr>
          </w:p>
        </w:tc>
        <w:tc>
          <w:tcPr>
            <w:tcW w:w="643" w:type="dxa"/>
            <w:tcBorders>
              <w:top w:val="single" w:sz="4" w:space="0" w:color="auto"/>
              <w:bottom w:val="single" w:sz="4" w:space="0" w:color="auto"/>
            </w:tcBorders>
            <w:shd w:val="clear" w:color="auto" w:fill="auto"/>
            <w:vAlign w:val="center"/>
          </w:tcPr>
          <w:p w14:paraId="086C03C9"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n</w:t>
            </w:r>
          </w:p>
        </w:tc>
        <w:tc>
          <w:tcPr>
            <w:tcW w:w="587" w:type="dxa"/>
            <w:tcBorders>
              <w:top w:val="single" w:sz="4" w:space="0" w:color="auto"/>
              <w:bottom w:val="single" w:sz="4" w:space="0" w:color="auto"/>
            </w:tcBorders>
            <w:shd w:val="clear" w:color="auto" w:fill="auto"/>
            <w:vAlign w:val="center"/>
          </w:tcPr>
          <w:p w14:paraId="32D9FB2E"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w:t>
            </w:r>
          </w:p>
        </w:tc>
        <w:tc>
          <w:tcPr>
            <w:tcW w:w="615" w:type="dxa"/>
            <w:tcBorders>
              <w:top w:val="single" w:sz="4" w:space="0" w:color="auto"/>
              <w:bottom w:val="single" w:sz="4" w:space="0" w:color="auto"/>
            </w:tcBorders>
            <w:shd w:val="clear" w:color="auto" w:fill="auto"/>
            <w:vAlign w:val="center"/>
          </w:tcPr>
          <w:p w14:paraId="6F85E049"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n</w:t>
            </w:r>
          </w:p>
        </w:tc>
        <w:tc>
          <w:tcPr>
            <w:tcW w:w="602" w:type="dxa"/>
            <w:tcBorders>
              <w:top w:val="single" w:sz="4" w:space="0" w:color="auto"/>
              <w:bottom w:val="single" w:sz="4" w:space="0" w:color="auto"/>
            </w:tcBorders>
            <w:shd w:val="clear" w:color="auto" w:fill="auto"/>
            <w:vAlign w:val="center"/>
          </w:tcPr>
          <w:p w14:paraId="7DFA42C8"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w:t>
            </w:r>
          </w:p>
        </w:tc>
        <w:tc>
          <w:tcPr>
            <w:tcW w:w="2391" w:type="dxa"/>
            <w:vMerge/>
            <w:tcBorders>
              <w:bottom w:val="single" w:sz="4" w:space="0" w:color="auto"/>
            </w:tcBorders>
            <w:shd w:val="clear" w:color="auto" w:fill="auto"/>
          </w:tcPr>
          <w:p w14:paraId="04E0F303" w14:textId="77777777" w:rsidR="005C0B80" w:rsidRDefault="005C0B80">
            <w:pPr>
              <w:jc w:val="both"/>
              <w:rPr>
                <w:rFonts w:ascii="Times New Roman" w:hAnsi="Times New Roman" w:cs="Times New Roman"/>
                <w:sz w:val="22"/>
                <w:szCs w:val="22"/>
              </w:rPr>
            </w:pPr>
          </w:p>
        </w:tc>
        <w:tc>
          <w:tcPr>
            <w:tcW w:w="2008" w:type="dxa"/>
            <w:vMerge/>
            <w:tcBorders>
              <w:bottom w:val="single" w:sz="4" w:space="0" w:color="auto"/>
            </w:tcBorders>
            <w:shd w:val="clear" w:color="auto" w:fill="auto"/>
          </w:tcPr>
          <w:p w14:paraId="44D77369" w14:textId="77777777" w:rsidR="005C0B80" w:rsidRDefault="005C0B80">
            <w:pPr>
              <w:jc w:val="both"/>
              <w:rPr>
                <w:rFonts w:ascii="Times New Roman" w:hAnsi="Times New Roman" w:cs="Times New Roman"/>
                <w:sz w:val="22"/>
                <w:szCs w:val="22"/>
              </w:rPr>
            </w:pPr>
          </w:p>
        </w:tc>
      </w:tr>
      <w:tr w:rsidR="005C0B80" w14:paraId="3CBCFCCA" w14:textId="77777777">
        <w:trPr>
          <w:jc w:val="center"/>
        </w:trPr>
        <w:tc>
          <w:tcPr>
            <w:tcW w:w="1428" w:type="dxa"/>
            <w:tcBorders>
              <w:top w:val="single" w:sz="4" w:space="0" w:color="auto"/>
            </w:tcBorders>
            <w:shd w:val="clear" w:color="auto" w:fill="auto"/>
            <w:vAlign w:val="center"/>
          </w:tcPr>
          <w:p w14:paraId="1C80E432"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Kadar Hb</w:t>
            </w:r>
          </w:p>
        </w:tc>
        <w:tc>
          <w:tcPr>
            <w:tcW w:w="643" w:type="dxa"/>
            <w:tcBorders>
              <w:top w:val="single" w:sz="4" w:space="0" w:color="auto"/>
            </w:tcBorders>
            <w:shd w:val="clear" w:color="auto" w:fill="auto"/>
            <w:vAlign w:val="center"/>
          </w:tcPr>
          <w:p w14:paraId="17BF1740" w14:textId="77777777" w:rsidR="005C0B80" w:rsidRDefault="005C0B80">
            <w:pPr>
              <w:jc w:val="center"/>
              <w:rPr>
                <w:rFonts w:ascii="Times New Roman" w:hAnsi="Times New Roman" w:cs="Times New Roman"/>
                <w:sz w:val="22"/>
                <w:szCs w:val="22"/>
              </w:rPr>
            </w:pPr>
          </w:p>
        </w:tc>
        <w:tc>
          <w:tcPr>
            <w:tcW w:w="587" w:type="dxa"/>
            <w:tcBorders>
              <w:top w:val="single" w:sz="4" w:space="0" w:color="auto"/>
            </w:tcBorders>
            <w:shd w:val="clear" w:color="auto" w:fill="auto"/>
            <w:vAlign w:val="center"/>
          </w:tcPr>
          <w:p w14:paraId="18EBB7DC" w14:textId="77777777" w:rsidR="005C0B80" w:rsidRDefault="005C0B80">
            <w:pPr>
              <w:jc w:val="center"/>
              <w:rPr>
                <w:rFonts w:ascii="Times New Roman" w:hAnsi="Times New Roman" w:cs="Times New Roman"/>
                <w:sz w:val="22"/>
                <w:szCs w:val="22"/>
              </w:rPr>
            </w:pPr>
          </w:p>
        </w:tc>
        <w:tc>
          <w:tcPr>
            <w:tcW w:w="615" w:type="dxa"/>
            <w:tcBorders>
              <w:top w:val="single" w:sz="4" w:space="0" w:color="auto"/>
            </w:tcBorders>
            <w:shd w:val="clear" w:color="auto" w:fill="auto"/>
            <w:vAlign w:val="center"/>
          </w:tcPr>
          <w:p w14:paraId="25F942F2" w14:textId="77777777" w:rsidR="005C0B80" w:rsidRDefault="005C0B80">
            <w:pPr>
              <w:jc w:val="center"/>
              <w:rPr>
                <w:rFonts w:ascii="Times New Roman" w:hAnsi="Times New Roman" w:cs="Times New Roman"/>
                <w:sz w:val="22"/>
                <w:szCs w:val="22"/>
              </w:rPr>
            </w:pPr>
          </w:p>
        </w:tc>
        <w:tc>
          <w:tcPr>
            <w:tcW w:w="602" w:type="dxa"/>
            <w:tcBorders>
              <w:top w:val="single" w:sz="4" w:space="0" w:color="auto"/>
            </w:tcBorders>
            <w:shd w:val="clear" w:color="auto" w:fill="auto"/>
            <w:vAlign w:val="center"/>
          </w:tcPr>
          <w:p w14:paraId="668A1774" w14:textId="77777777" w:rsidR="005C0B80" w:rsidRDefault="005C0B80">
            <w:pPr>
              <w:jc w:val="center"/>
              <w:rPr>
                <w:rFonts w:ascii="Times New Roman" w:hAnsi="Times New Roman" w:cs="Times New Roman"/>
                <w:sz w:val="22"/>
                <w:szCs w:val="22"/>
              </w:rPr>
            </w:pPr>
          </w:p>
        </w:tc>
        <w:tc>
          <w:tcPr>
            <w:tcW w:w="2391" w:type="dxa"/>
            <w:vMerge w:val="restart"/>
            <w:tcBorders>
              <w:top w:val="single" w:sz="4" w:space="0" w:color="auto"/>
            </w:tcBorders>
            <w:shd w:val="clear" w:color="auto" w:fill="auto"/>
          </w:tcPr>
          <w:p w14:paraId="5AB2994D"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0,040</w:t>
            </w:r>
          </w:p>
          <w:p w14:paraId="10B008D9" w14:textId="77777777" w:rsidR="005C0B80" w:rsidRDefault="003E6C9F">
            <w:pPr>
              <w:jc w:val="center"/>
              <w:rPr>
                <w:rFonts w:ascii="Times New Roman" w:hAnsi="Times New Roman" w:cs="Times New Roman"/>
                <w:sz w:val="22"/>
                <w:szCs w:val="22"/>
              </w:rPr>
            </w:pPr>
            <w:r>
              <w:rPr>
                <w:rFonts w:ascii="Times New Roman" w:hAnsi="Times New Roman" w:cs="Times New Roman"/>
                <w:i/>
                <w:iCs/>
                <w:sz w:val="22"/>
                <w:szCs w:val="22"/>
              </w:rPr>
              <w:t>Chi-Square test</w:t>
            </w:r>
          </w:p>
        </w:tc>
        <w:tc>
          <w:tcPr>
            <w:tcW w:w="2008" w:type="dxa"/>
            <w:tcBorders>
              <w:top w:val="single" w:sz="4" w:space="0" w:color="auto"/>
            </w:tcBorders>
            <w:shd w:val="clear" w:color="auto" w:fill="auto"/>
          </w:tcPr>
          <w:p w14:paraId="4C50398F" w14:textId="77777777" w:rsidR="005C0B80" w:rsidRDefault="003E6C9F">
            <w:pPr>
              <w:jc w:val="center"/>
              <w:rPr>
                <w:rFonts w:ascii="Times New Roman" w:hAnsi="Times New Roman" w:cs="Times New Roman"/>
                <w:i/>
                <w:iCs/>
                <w:sz w:val="22"/>
                <w:szCs w:val="22"/>
              </w:rPr>
            </w:pPr>
            <w:r>
              <w:rPr>
                <w:rFonts w:ascii="Times New Roman" w:hAnsi="Times New Roman" w:cs="Times New Roman"/>
                <w:sz w:val="22"/>
                <w:szCs w:val="22"/>
              </w:rPr>
              <w:t>3,442</w:t>
            </w:r>
          </w:p>
        </w:tc>
      </w:tr>
      <w:tr w:rsidR="005C0B80" w14:paraId="71BC3F7B" w14:textId="77777777">
        <w:trPr>
          <w:jc w:val="center"/>
        </w:trPr>
        <w:tc>
          <w:tcPr>
            <w:tcW w:w="1428" w:type="dxa"/>
            <w:shd w:val="clear" w:color="auto" w:fill="auto"/>
            <w:vAlign w:val="center"/>
          </w:tcPr>
          <w:p w14:paraId="393AA30E"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Normal</w:t>
            </w:r>
          </w:p>
        </w:tc>
        <w:tc>
          <w:tcPr>
            <w:tcW w:w="643" w:type="dxa"/>
            <w:shd w:val="clear" w:color="auto" w:fill="auto"/>
            <w:vAlign w:val="center"/>
          </w:tcPr>
          <w:p w14:paraId="198E297A"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1</w:t>
            </w:r>
          </w:p>
        </w:tc>
        <w:tc>
          <w:tcPr>
            <w:tcW w:w="587" w:type="dxa"/>
            <w:shd w:val="clear" w:color="auto" w:fill="auto"/>
            <w:vAlign w:val="center"/>
          </w:tcPr>
          <w:p w14:paraId="7DD9FB8B"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5</w:t>
            </w:r>
          </w:p>
        </w:tc>
        <w:tc>
          <w:tcPr>
            <w:tcW w:w="615" w:type="dxa"/>
            <w:shd w:val="clear" w:color="auto" w:fill="auto"/>
            <w:vAlign w:val="center"/>
          </w:tcPr>
          <w:p w14:paraId="2E93F59D"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3</w:t>
            </w:r>
          </w:p>
        </w:tc>
        <w:tc>
          <w:tcPr>
            <w:tcW w:w="602" w:type="dxa"/>
            <w:shd w:val="clear" w:color="auto" w:fill="auto"/>
            <w:vAlign w:val="center"/>
          </w:tcPr>
          <w:p w14:paraId="7D425415"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15</w:t>
            </w:r>
          </w:p>
        </w:tc>
        <w:tc>
          <w:tcPr>
            <w:tcW w:w="2391" w:type="dxa"/>
            <w:vMerge/>
            <w:shd w:val="clear" w:color="auto" w:fill="auto"/>
          </w:tcPr>
          <w:p w14:paraId="74A0B7D7" w14:textId="77777777" w:rsidR="005C0B80" w:rsidRDefault="005C0B80">
            <w:pPr>
              <w:jc w:val="both"/>
              <w:rPr>
                <w:rFonts w:ascii="Times New Roman" w:hAnsi="Times New Roman" w:cs="Times New Roman"/>
                <w:sz w:val="22"/>
                <w:szCs w:val="22"/>
              </w:rPr>
            </w:pPr>
          </w:p>
        </w:tc>
        <w:tc>
          <w:tcPr>
            <w:tcW w:w="2008" w:type="dxa"/>
            <w:shd w:val="clear" w:color="auto" w:fill="auto"/>
          </w:tcPr>
          <w:p w14:paraId="54B9AA04" w14:textId="77777777" w:rsidR="005C0B80" w:rsidRDefault="005C0B80">
            <w:pPr>
              <w:jc w:val="both"/>
              <w:rPr>
                <w:rFonts w:ascii="Times New Roman" w:hAnsi="Times New Roman" w:cs="Times New Roman"/>
                <w:sz w:val="22"/>
                <w:szCs w:val="22"/>
              </w:rPr>
            </w:pPr>
          </w:p>
        </w:tc>
      </w:tr>
      <w:tr w:rsidR="005C0B80" w14:paraId="45F62568" w14:textId="77777777">
        <w:trPr>
          <w:jc w:val="center"/>
        </w:trPr>
        <w:tc>
          <w:tcPr>
            <w:tcW w:w="1428" w:type="dxa"/>
            <w:tcBorders>
              <w:bottom w:val="single" w:sz="4" w:space="0" w:color="auto"/>
            </w:tcBorders>
            <w:shd w:val="clear" w:color="auto" w:fill="auto"/>
            <w:vAlign w:val="center"/>
          </w:tcPr>
          <w:p w14:paraId="5DDC3E54"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Rendah</w:t>
            </w:r>
          </w:p>
        </w:tc>
        <w:tc>
          <w:tcPr>
            <w:tcW w:w="643" w:type="dxa"/>
            <w:tcBorders>
              <w:bottom w:val="single" w:sz="4" w:space="0" w:color="auto"/>
            </w:tcBorders>
            <w:shd w:val="clear" w:color="auto" w:fill="auto"/>
            <w:vAlign w:val="center"/>
          </w:tcPr>
          <w:p w14:paraId="6550050A"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0</w:t>
            </w:r>
          </w:p>
        </w:tc>
        <w:tc>
          <w:tcPr>
            <w:tcW w:w="587" w:type="dxa"/>
            <w:tcBorders>
              <w:bottom w:val="single" w:sz="4" w:space="0" w:color="auto"/>
            </w:tcBorders>
            <w:shd w:val="clear" w:color="auto" w:fill="auto"/>
            <w:vAlign w:val="center"/>
          </w:tcPr>
          <w:p w14:paraId="49DE3962"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0</w:t>
            </w:r>
          </w:p>
        </w:tc>
        <w:tc>
          <w:tcPr>
            <w:tcW w:w="615" w:type="dxa"/>
            <w:tcBorders>
              <w:bottom w:val="single" w:sz="4" w:space="0" w:color="auto"/>
            </w:tcBorders>
            <w:shd w:val="clear" w:color="auto" w:fill="auto"/>
            <w:vAlign w:val="center"/>
          </w:tcPr>
          <w:p w14:paraId="6D4C3BE4"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16</w:t>
            </w:r>
          </w:p>
        </w:tc>
        <w:tc>
          <w:tcPr>
            <w:tcW w:w="602" w:type="dxa"/>
            <w:tcBorders>
              <w:bottom w:val="single" w:sz="4" w:space="0" w:color="auto"/>
            </w:tcBorders>
            <w:shd w:val="clear" w:color="auto" w:fill="auto"/>
            <w:vAlign w:val="center"/>
          </w:tcPr>
          <w:p w14:paraId="20A28B1F" w14:textId="77777777" w:rsidR="005C0B80" w:rsidRDefault="003E6C9F">
            <w:pPr>
              <w:jc w:val="center"/>
              <w:rPr>
                <w:rFonts w:ascii="Times New Roman" w:hAnsi="Times New Roman" w:cs="Times New Roman"/>
                <w:sz w:val="22"/>
                <w:szCs w:val="22"/>
              </w:rPr>
            </w:pPr>
            <w:r>
              <w:rPr>
                <w:rFonts w:ascii="Times New Roman" w:hAnsi="Times New Roman" w:cs="Times New Roman"/>
                <w:sz w:val="22"/>
                <w:szCs w:val="22"/>
              </w:rPr>
              <w:t>80</w:t>
            </w:r>
          </w:p>
        </w:tc>
        <w:tc>
          <w:tcPr>
            <w:tcW w:w="2391" w:type="dxa"/>
            <w:vMerge/>
            <w:tcBorders>
              <w:bottom w:val="single" w:sz="4" w:space="0" w:color="auto"/>
            </w:tcBorders>
            <w:shd w:val="clear" w:color="auto" w:fill="auto"/>
          </w:tcPr>
          <w:p w14:paraId="16BFF051" w14:textId="77777777" w:rsidR="005C0B80" w:rsidRDefault="005C0B80">
            <w:pPr>
              <w:jc w:val="both"/>
              <w:rPr>
                <w:rFonts w:ascii="Times New Roman" w:hAnsi="Times New Roman" w:cs="Times New Roman"/>
                <w:sz w:val="22"/>
                <w:szCs w:val="22"/>
              </w:rPr>
            </w:pPr>
          </w:p>
        </w:tc>
        <w:tc>
          <w:tcPr>
            <w:tcW w:w="2008" w:type="dxa"/>
            <w:tcBorders>
              <w:bottom w:val="single" w:sz="4" w:space="0" w:color="auto"/>
            </w:tcBorders>
            <w:shd w:val="clear" w:color="auto" w:fill="auto"/>
          </w:tcPr>
          <w:p w14:paraId="5C7314E9" w14:textId="77777777" w:rsidR="005C0B80" w:rsidRDefault="005C0B80">
            <w:pPr>
              <w:jc w:val="both"/>
              <w:rPr>
                <w:rFonts w:ascii="Times New Roman" w:hAnsi="Times New Roman" w:cs="Times New Roman"/>
                <w:sz w:val="22"/>
                <w:szCs w:val="22"/>
              </w:rPr>
            </w:pPr>
          </w:p>
        </w:tc>
      </w:tr>
    </w:tbl>
    <w:p w14:paraId="0F05DCCD" w14:textId="77777777" w:rsidR="005C0B80" w:rsidRDefault="005C0B80">
      <w:pPr>
        <w:spacing w:after="0"/>
        <w:ind w:firstLine="420"/>
        <w:jc w:val="center"/>
        <w:rPr>
          <w:rFonts w:ascii="Times New Roman" w:hAnsi="Times New Roman"/>
          <w:sz w:val="22"/>
          <w:szCs w:val="22"/>
        </w:rPr>
      </w:pPr>
    </w:p>
    <w:p w14:paraId="6EF46C07"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 xml:space="preserve">Berdasarkan status kreatinin, ditemukan sebanyak 80% pasien </w:t>
      </w:r>
      <w:r>
        <w:rPr>
          <w:rFonts w:ascii="Times New Roman" w:hAnsi="Times New Roman"/>
          <w:sz w:val="22"/>
          <w:szCs w:val="22"/>
        </w:rPr>
        <w:t>dengan Hb rendah pada pasien dengan status kreatinin tinggi. Sedangkan pasien dengan Hb rendah dengan status kreatinin normal tidak ada atau 0%. Hasil penelitian ini, dengan metode chi-square didapatkan nilai p = 0,040 yang artinya terdapat hubungan bermak</w:t>
      </w:r>
      <w:r>
        <w:rPr>
          <w:rFonts w:ascii="Times New Roman" w:hAnsi="Times New Roman"/>
          <w:sz w:val="22"/>
          <w:szCs w:val="22"/>
        </w:rPr>
        <w:t>na secara statistik (p &lt; 0,05) antara kadar kreatinin darah yang tinggi dengan kadar Hb yang rendah. Ditemukan juga odd ratio risiko pada pasien dengan status kreatinin tinggi lebih dari 3 kali lebih tinggi untuk memiliki Hb rendah dibandingkan dengan pasi</w:t>
      </w:r>
      <w:r>
        <w:rPr>
          <w:rFonts w:ascii="Times New Roman" w:hAnsi="Times New Roman"/>
          <w:sz w:val="22"/>
          <w:szCs w:val="22"/>
        </w:rPr>
        <w:t>en yang status kreatininnya normal.</w:t>
      </w:r>
    </w:p>
    <w:p w14:paraId="31E1344B"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Berdasarkan status kreatinin, ditemukan sebanyak 80% pasien dengan Hb rendah pada pasien dengan status kreatinin tinggi, sedangkan 15% sisanya mempunyai Hb normal. Presentasi 80% dengan Hb rendah menunjukkan bahwa pada k</w:t>
      </w:r>
      <w:r>
        <w:rPr>
          <w:rFonts w:ascii="Times New Roman" w:hAnsi="Times New Roman"/>
          <w:sz w:val="22"/>
          <w:szCs w:val="22"/>
        </w:rPr>
        <w:t>eadaan tersebut diperkirakan kerusakan ginjal telah berlangsung lama sehingga sudah terjadi penurunan kadar Hb, sedangkan 15% sisanya yang mempunyai kadar Hb normal diperkirakan kerusakan ginjalnya masih belum signifikan dan ada kemungkinan kerusakan ginja</w:t>
      </w:r>
      <w:r>
        <w:rPr>
          <w:rFonts w:ascii="Times New Roman" w:hAnsi="Times New Roman"/>
          <w:sz w:val="22"/>
          <w:szCs w:val="22"/>
        </w:rPr>
        <w:t xml:space="preserve">l masih reversibel. Ditemukan juga odd ratio risiko pada pasien dengan status kreatinin tinggi lebih dari 3 kali lebih tinggi </w:t>
      </w:r>
      <w:r>
        <w:rPr>
          <w:rFonts w:ascii="Times New Roman" w:hAnsi="Times New Roman"/>
          <w:sz w:val="22"/>
          <w:szCs w:val="22"/>
        </w:rPr>
        <w:lastRenderedPageBreak/>
        <w:t>untuk memiliki Hb rendah dibandingkan dengan pasien yang status kreatininnya normal. Artinya seseorang dengan kadar kreatinin yang</w:t>
      </w:r>
      <w:r>
        <w:rPr>
          <w:rFonts w:ascii="Times New Roman" w:hAnsi="Times New Roman"/>
          <w:sz w:val="22"/>
          <w:szCs w:val="22"/>
        </w:rPr>
        <w:t xml:space="preserve"> tinggi memiliki risiko 3 kali lipat untuk mengalami anemia daripada orang dengan kadar kreatinin normal.</w:t>
      </w:r>
    </w:p>
    <w:p w14:paraId="279FDC84"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Fungsi ginjal sangat berkaitan dengan kadar kreatinin dalam darah. Pemeriksaan Kadar kreatinin serum digunakan secara klinis sebagai pemeriksaan param</w:t>
      </w:r>
      <w:r>
        <w:rPr>
          <w:rFonts w:ascii="Times New Roman" w:hAnsi="Times New Roman"/>
          <w:sz w:val="22"/>
          <w:szCs w:val="22"/>
        </w:rPr>
        <w:t>eter fungsi ginjal. Serum kreatinin diketahui dipengaruhi oleh produksi kreatinin dan klirens endogen kreatinin serta dipengaruhi juga oleh banyak faktor lain seperti umur, jenis kelamin, dan berat badan. Produksi serum kreatinin sebanding dengan berat bad</w:t>
      </w:r>
      <w:r>
        <w:rPr>
          <w:rFonts w:ascii="Times New Roman" w:hAnsi="Times New Roman"/>
          <w:sz w:val="22"/>
          <w:szCs w:val="22"/>
        </w:rPr>
        <w:t>an dan berbanding terbalik dengan umur. Produksi serum juga ditemukan lebih tinggi pada pria. Klirens endogen kreatinin berbanding terbalik dengan umur dan didalam penelitian ditemukan lebih tinggi pada pria. Serum kreatinin direkomendasikan sebagai evalua</w:t>
      </w:r>
      <w:r>
        <w:rPr>
          <w:rFonts w:ascii="Times New Roman" w:hAnsi="Times New Roman"/>
          <w:sz w:val="22"/>
          <w:szCs w:val="22"/>
        </w:rPr>
        <w:t>si klinis yang mudah pada keadaan ginjal yang normal atau fungsi ginjal yang berkurang. Ketika keadaan klinis berubah secara cepat, direkomendasikan untuk mengumpulkan kreatinin urin untuk penentuan klirens kreatinin.</w:t>
      </w:r>
    </w:p>
    <w:p w14:paraId="3ADB816E"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Anemia yang dialami penderita CKD sang</w:t>
      </w:r>
      <w:r>
        <w:rPr>
          <w:rFonts w:ascii="Times New Roman" w:hAnsi="Times New Roman"/>
          <w:sz w:val="22"/>
          <w:szCs w:val="22"/>
        </w:rPr>
        <w:t>at sering dijumpai. Review yang dilakukan oleh Nurko et al  mengenai hubungan anemia dengan gagal ginjal kronis, dimana anemia akan mengalami peningkatan jumlahnya seiring dengan menurunya fungsi ginjal. Pasien penderita CDK stadium 3 berada pada prevalens</w:t>
      </w:r>
      <w:r>
        <w:rPr>
          <w:rFonts w:ascii="Times New Roman" w:hAnsi="Times New Roman"/>
          <w:sz w:val="22"/>
          <w:szCs w:val="22"/>
        </w:rPr>
        <w:t xml:space="preserve">i anemia sebesar 5,2%, dan mengalami peningkatan menjadi 44,1% di stadium 4. </w:t>
      </w:r>
    </w:p>
    <w:p w14:paraId="12012BC3"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 xml:space="preserve">Penyebab utama pada pasien yang mengalami anemia pada kasus gagal ginjal kronik yaitu berkurangnya kadar erythropoietin (EPO). Sel-sel peritubular yang termodifikasi khusus akan </w:t>
      </w:r>
      <w:r>
        <w:rPr>
          <w:rFonts w:ascii="Times New Roman" w:hAnsi="Times New Roman"/>
          <w:sz w:val="22"/>
          <w:szCs w:val="22"/>
        </w:rPr>
        <w:t>memproduksi EPO sebagian atau seluruhnya rusak seiring dengan proses laju kerusakan ginjal sehingga kadar EPO ditemukan relatif rendah. EPO diproduksi jika gen tersebut ditranskripsi sebagai akibat dari terikatnya molekul molekul yang bernama hypoxia-induc</w:t>
      </w:r>
      <w:r>
        <w:rPr>
          <w:rFonts w:ascii="Times New Roman" w:hAnsi="Times New Roman"/>
          <w:sz w:val="22"/>
          <w:szCs w:val="22"/>
        </w:rPr>
        <w:t>ible factor 1 alpha pada hypoxia-responsive element. EPO juga dihasilkan bila dalam keadaan oksigen yang relatif rendah sehingga mengakibatkan keseimbangan konsumsi dan suplai oksigen menentukan laju produksi EPO. Donnely memperkirakan bahwa penurunan laju</w:t>
      </w:r>
      <w:r>
        <w:rPr>
          <w:rFonts w:ascii="Times New Roman" w:hAnsi="Times New Roman"/>
          <w:sz w:val="22"/>
          <w:szCs w:val="22"/>
        </w:rPr>
        <w:t xml:space="preserve"> filtrasi glomerulus (GFR) akan membuat reaksi fungsional pada pasien gagal ginjal kronik. Saat GFR menurun, maka reabsorbsi natrium menjadi rendah. Reabsorbsi natrium juga membutuhkan banyak oksigen. Disimpulkan bahwa ada faktor lokal yang mempengaruhi pe</w:t>
      </w:r>
      <w:r>
        <w:rPr>
          <w:rFonts w:ascii="Times New Roman" w:hAnsi="Times New Roman"/>
          <w:sz w:val="22"/>
          <w:szCs w:val="22"/>
        </w:rPr>
        <w:t>nurunan EPO yang diakrenakan kelebihan oksigen ini. Pasien laki-laki dengan kadar Hb &lt; 12.0 gr/dL harus diperiksa lebih lanjut untuk mengetahui lebih dalam anemia yang dideritanya.</w:t>
      </w:r>
    </w:p>
    <w:p w14:paraId="51F8804D"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Terapi anemia pada penderita CDK dengan transfusi darah lebih banyak diguna</w:t>
      </w:r>
      <w:r>
        <w:rPr>
          <w:rFonts w:ascii="Times New Roman" w:hAnsi="Times New Roman"/>
          <w:sz w:val="22"/>
          <w:szCs w:val="22"/>
        </w:rPr>
        <w:t>kan karena terapi dengan pemberian recombinant human eritropoietin (epoetin) relatif mahal walaupun hasil outcome yang lebih bagus dibandingkan dengan transfusi darah (Anita M, 2013). Transfusi darah adalah suatu proses pemindahan darah dari donor ke resip</w:t>
      </w:r>
      <w:r>
        <w:rPr>
          <w:rFonts w:ascii="Times New Roman" w:hAnsi="Times New Roman"/>
          <w:sz w:val="22"/>
          <w:szCs w:val="22"/>
        </w:rPr>
        <w:t>ein, guna meningkatan volume serta fungsi lain dari komponen darah. Namun proses transfusi darah memiliki resiko yang tinggi yaitu penularan penyakit seperti HIV/AIDS, serta reaksi alergi, tetapi penggunaannya sangat efektif untuk menaikkan kadar hemoglobi</w:t>
      </w:r>
      <w:r>
        <w:rPr>
          <w:rFonts w:ascii="Times New Roman" w:hAnsi="Times New Roman"/>
          <w:sz w:val="22"/>
          <w:szCs w:val="22"/>
        </w:rPr>
        <w:t>n dalam darah (KDOQI, 2012).</w:t>
      </w:r>
    </w:p>
    <w:p w14:paraId="455EE71C" w14:textId="77777777" w:rsidR="005C0B80" w:rsidRDefault="003E6C9F">
      <w:pPr>
        <w:spacing w:after="0"/>
        <w:ind w:firstLine="420"/>
        <w:jc w:val="both"/>
        <w:rPr>
          <w:rFonts w:ascii="Times New Roman" w:hAnsi="Times New Roman"/>
          <w:sz w:val="22"/>
          <w:szCs w:val="22"/>
        </w:rPr>
      </w:pPr>
      <w:r>
        <w:rPr>
          <w:rFonts w:ascii="Times New Roman" w:hAnsi="Times New Roman"/>
          <w:sz w:val="22"/>
          <w:szCs w:val="22"/>
        </w:rPr>
        <w:t>Transfusi darah pada pasien anemia dapat berupa Whole blood atau komponen darah yang lainnya. Komponen darah seperti Whole blood dapat ditransfusikan secara terpisah sesuai dengan kebutuhan. Macam komponen darah antara, PRC (Pa</w:t>
      </w:r>
      <w:r>
        <w:rPr>
          <w:rFonts w:ascii="Times New Roman" w:hAnsi="Times New Roman"/>
          <w:sz w:val="22"/>
          <w:szCs w:val="22"/>
        </w:rPr>
        <w:t>cked Red Cell / Sel Darah merah Pekat), trombosit pekat (thrombocyte concentrate), lekosit, kriopresipitat, dan plasma segar beku (fresh frozen plasma). Pemberian transfusi satu unit PRC (± 250 ml) dapat menaikkan kadar hemoglobin darah 1-1,5 gr/dl, dan He</w:t>
      </w:r>
      <w:r>
        <w:rPr>
          <w:rFonts w:ascii="Times New Roman" w:hAnsi="Times New Roman"/>
          <w:sz w:val="22"/>
          <w:szCs w:val="22"/>
        </w:rPr>
        <w:t>matokrit 3-5% (Erma L, 2002). Tatalaksana untuk transfusi darah pada penderita CDK harus dilakukan saat berlangsungnya proses hemodialisis dengan menggunakan komponen Paced Red Cell, hal ini dilakukan guna mencegah kelebihan cairan, yang dapat mengakibatka</w:t>
      </w:r>
      <w:r>
        <w:rPr>
          <w:rFonts w:ascii="Times New Roman" w:hAnsi="Times New Roman"/>
          <w:sz w:val="22"/>
          <w:szCs w:val="22"/>
        </w:rPr>
        <w:t>n kerja ginjal semakin berat (PERNEFRI, 2011).</w:t>
      </w:r>
    </w:p>
    <w:p w14:paraId="64D4EE8B" w14:textId="77777777" w:rsidR="005C0B80" w:rsidRDefault="005C0B80">
      <w:pPr>
        <w:spacing w:after="0"/>
        <w:jc w:val="both"/>
        <w:rPr>
          <w:rFonts w:ascii="Times New Roman" w:hAnsi="Times New Roman"/>
          <w:sz w:val="22"/>
          <w:szCs w:val="22"/>
        </w:rPr>
      </w:pPr>
    </w:p>
    <w:p w14:paraId="57D02E60" w14:textId="77777777" w:rsidR="005C0B80" w:rsidRDefault="003E6C9F">
      <w:pPr>
        <w:numPr>
          <w:ilvl w:val="0"/>
          <w:numId w:val="1"/>
        </w:numPr>
        <w:spacing w:after="0"/>
        <w:jc w:val="both"/>
        <w:rPr>
          <w:rFonts w:ascii="Times New Roman" w:hAnsi="Times New Roman" w:cs="Times New Roman"/>
          <w:b/>
          <w:bCs/>
          <w:iCs/>
          <w:sz w:val="24"/>
          <w:szCs w:val="24"/>
        </w:rPr>
      </w:pPr>
      <w:r>
        <w:rPr>
          <w:rFonts w:ascii="Times New Roman" w:hAnsi="Times New Roman" w:cs="Times New Roman"/>
          <w:b/>
          <w:bCs/>
          <w:sz w:val="24"/>
          <w:szCs w:val="24"/>
        </w:rPr>
        <w:t>Simpulan dan Saran</w:t>
      </w:r>
    </w:p>
    <w:p w14:paraId="688FF795" w14:textId="77777777" w:rsidR="005C0B80" w:rsidRDefault="005C0B80">
      <w:pPr>
        <w:spacing w:after="0"/>
        <w:ind w:firstLine="420"/>
        <w:jc w:val="both"/>
        <w:rPr>
          <w:rFonts w:ascii="Times New Roman" w:hAnsi="Times New Roman" w:cs="Times New Roman"/>
          <w:i/>
          <w:iCs/>
          <w:sz w:val="22"/>
          <w:szCs w:val="22"/>
        </w:rPr>
      </w:pPr>
    </w:p>
    <w:p w14:paraId="7619FFBE" w14:textId="77777777" w:rsidR="005C0B80" w:rsidRDefault="003E6C9F">
      <w:pPr>
        <w:spacing w:after="0"/>
        <w:ind w:firstLine="420"/>
        <w:jc w:val="both"/>
        <w:rPr>
          <w:rFonts w:ascii="Times New Roman" w:hAnsi="Times New Roman" w:cs="Times New Roman"/>
          <w:b/>
          <w:bCs/>
          <w:sz w:val="24"/>
          <w:szCs w:val="24"/>
        </w:rPr>
      </w:pPr>
      <w:r>
        <w:rPr>
          <w:rFonts w:ascii="Times New Roman" w:hAnsi="Times New Roman" w:cs="Times New Roman"/>
          <w:b/>
          <w:bCs/>
          <w:sz w:val="24"/>
          <w:szCs w:val="24"/>
        </w:rPr>
        <w:t>Simpulan</w:t>
      </w:r>
    </w:p>
    <w:p w14:paraId="5E751C73" w14:textId="77777777" w:rsidR="005C0B80" w:rsidRDefault="003E6C9F">
      <w:pPr>
        <w:pStyle w:val="ListParagraph"/>
        <w:spacing w:after="0" w:line="240" w:lineRule="auto"/>
        <w:ind w:left="0" w:firstLine="420"/>
        <w:jc w:val="both"/>
        <w:rPr>
          <w:rFonts w:ascii="Times New Roman" w:hAnsi="Times New Roman"/>
          <w:iCs/>
          <w:sz w:val="22"/>
          <w:szCs w:val="22"/>
        </w:rPr>
      </w:pPr>
      <w:r>
        <w:rPr>
          <w:rFonts w:ascii="Times New Roman" w:hAnsi="Times New Roman"/>
          <w:iCs/>
          <w:sz w:val="22"/>
          <w:szCs w:val="22"/>
        </w:rPr>
        <w:t xml:space="preserve">Pada pasien dengan Penyakit Ginjal Kronik di Rumah Sakit Wira Tamtama Semarang pada tahun 2020, diketahui rerata usia pasien, kadar Hb darah, dan kadar kreatinin darah </w:t>
      </w:r>
      <w:r>
        <w:rPr>
          <w:rFonts w:ascii="Times New Roman" w:hAnsi="Times New Roman"/>
          <w:iCs/>
          <w:sz w:val="22"/>
          <w:szCs w:val="22"/>
        </w:rPr>
        <w:t>berturut-turut dengan nilai 47,45 tahun, 10,08 gr/dL, dan 11,60 mg/dL.</w:t>
      </w:r>
    </w:p>
    <w:p w14:paraId="4DD14E81" w14:textId="77777777" w:rsidR="005C0B80" w:rsidRDefault="003E6C9F">
      <w:pPr>
        <w:pStyle w:val="ListParagraph"/>
        <w:spacing w:after="0" w:line="240" w:lineRule="auto"/>
        <w:ind w:left="0" w:firstLine="420"/>
        <w:jc w:val="both"/>
        <w:rPr>
          <w:rFonts w:ascii="Times New Roman" w:hAnsi="Times New Roman"/>
          <w:iCs/>
          <w:sz w:val="22"/>
          <w:szCs w:val="22"/>
        </w:rPr>
      </w:pPr>
      <w:r>
        <w:rPr>
          <w:rFonts w:ascii="Times New Roman" w:hAnsi="Times New Roman"/>
          <w:iCs/>
          <w:sz w:val="22"/>
          <w:szCs w:val="22"/>
        </w:rPr>
        <w:t>Terdapat hubungan yang bermakna antara kadar hemoglobin dengan kadar kreatinin darah pada pasien (p=&lt;0,05). Terdapat risiko pasien dengan kadar kreatinin yang tinggi untuk mengalami ane</w:t>
      </w:r>
      <w:r>
        <w:rPr>
          <w:rFonts w:ascii="Times New Roman" w:hAnsi="Times New Roman"/>
          <w:iCs/>
          <w:sz w:val="22"/>
          <w:szCs w:val="22"/>
        </w:rPr>
        <w:t>mia (OR = 3,442)</w:t>
      </w:r>
      <w:r>
        <w:rPr>
          <w:rFonts w:ascii="Times New Roman" w:hAnsi="Times New Roman"/>
          <w:iCs/>
          <w:sz w:val="22"/>
          <w:szCs w:val="22"/>
        </w:rPr>
        <w:t>.</w:t>
      </w:r>
    </w:p>
    <w:p w14:paraId="71BD85D3" w14:textId="77777777" w:rsidR="005C0B80" w:rsidRDefault="005C0B80">
      <w:pPr>
        <w:pStyle w:val="ListParagraph"/>
        <w:spacing w:after="0" w:line="240" w:lineRule="auto"/>
        <w:ind w:left="0" w:firstLine="420"/>
        <w:jc w:val="both"/>
        <w:rPr>
          <w:rFonts w:ascii="Times New Roman" w:hAnsi="Times New Roman"/>
          <w:iCs/>
          <w:sz w:val="22"/>
          <w:szCs w:val="22"/>
        </w:rPr>
      </w:pPr>
    </w:p>
    <w:p w14:paraId="0EC3DD20" w14:textId="77777777" w:rsidR="005C0B80" w:rsidRDefault="003E6C9F">
      <w:pPr>
        <w:pStyle w:val="ListParagraph"/>
        <w:spacing w:after="0" w:line="240" w:lineRule="auto"/>
        <w:ind w:left="0" w:firstLine="420"/>
        <w:jc w:val="both"/>
        <w:rPr>
          <w:rFonts w:ascii="Times New Roman" w:hAnsi="Times New Roman" w:cs="Times New Roman"/>
          <w:b/>
          <w:bCs/>
          <w:iCs/>
          <w:sz w:val="24"/>
          <w:szCs w:val="24"/>
        </w:rPr>
      </w:pPr>
      <w:r>
        <w:rPr>
          <w:rFonts w:ascii="Times New Roman" w:hAnsi="Times New Roman" w:cs="Times New Roman"/>
          <w:b/>
          <w:bCs/>
          <w:iCs/>
          <w:sz w:val="24"/>
          <w:szCs w:val="24"/>
        </w:rPr>
        <w:t>Saran</w:t>
      </w:r>
    </w:p>
    <w:p w14:paraId="0B06D6A4" w14:textId="77777777" w:rsidR="005C0B80" w:rsidRDefault="003E6C9F">
      <w:pPr>
        <w:pStyle w:val="ListParagraph"/>
        <w:spacing w:after="0" w:line="240" w:lineRule="auto"/>
        <w:ind w:left="0" w:firstLine="420"/>
        <w:jc w:val="both"/>
        <w:rPr>
          <w:rFonts w:ascii="Times New Roman" w:hAnsi="Times New Roman" w:cs="Times New Roman"/>
          <w:iCs/>
          <w:sz w:val="22"/>
          <w:szCs w:val="22"/>
        </w:rPr>
      </w:pPr>
      <w:r>
        <w:rPr>
          <w:rFonts w:ascii="Times New Roman" w:hAnsi="Times New Roman" w:cs="Times New Roman"/>
          <w:iCs/>
          <w:sz w:val="22"/>
          <w:szCs w:val="22"/>
        </w:rPr>
        <w:t>Dilakukan pemeriksaan Hb sebelum dan sesudah tranfusi, serta dilakukan juga pemeriksaan kreatinin guna melihat kemungkinan adanya anemia.</w:t>
      </w:r>
    </w:p>
    <w:p w14:paraId="20650608" w14:textId="77777777" w:rsidR="005C0B80" w:rsidRDefault="005C0B80">
      <w:pPr>
        <w:pStyle w:val="ListParagraph"/>
        <w:spacing w:after="0" w:line="240" w:lineRule="auto"/>
        <w:ind w:left="0" w:firstLine="420"/>
        <w:jc w:val="both"/>
        <w:rPr>
          <w:rFonts w:ascii="Times New Roman" w:hAnsi="Times New Roman" w:cs="Times New Roman"/>
          <w:iCs/>
          <w:sz w:val="22"/>
          <w:szCs w:val="22"/>
        </w:rPr>
      </w:pPr>
    </w:p>
    <w:p w14:paraId="5EA51A13" w14:textId="77777777" w:rsidR="005C0B80" w:rsidRDefault="003E6C9F">
      <w:pPr>
        <w:numPr>
          <w:ilvl w:val="0"/>
          <w:numId w:val="1"/>
        </w:numPr>
        <w:spacing w:after="0"/>
        <w:jc w:val="both"/>
        <w:rPr>
          <w:rFonts w:ascii="Times New Roman" w:hAnsi="Times New Roman" w:cs="Times New Roman"/>
          <w:b/>
          <w:bCs/>
          <w:iCs/>
          <w:sz w:val="24"/>
          <w:szCs w:val="24"/>
        </w:rPr>
      </w:pPr>
      <w:r>
        <w:rPr>
          <w:rFonts w:ascii="Times New Roman" w:hAnsi="Times New Roman" w:cs="Times New Roman"/>
          <w:b/>
          <w:bCs/>
          <w:sz w:val="24"/>
          <w:szCs w:val="24"/>
        </w:rPr>
        <w:t>Daftar Pustaka</w:t>
      </w:r>
    </w:p>
    <w:p w14:paraId="7EE63B71" w14:textId="77777777" w:rsidR="005C0B80" w:rsidRDefault="005C0B80">
      <w:pPr>
        <w:spacing w:after="0" w:line="240" w:lineRule="auto"/>
        <w:ind w:left="403" w:hanging="403"/>
        <w:jc w:val="both"/>
        <w:rPr>
          <w:rFonts w:ascii="Times New Roman" w:eastAsia="Calibri" w:hAnsi="Times New Roman" w:cs="Times New Roman"/>
          <w:sz w:val="21"/>
          <w:szCs w:val="21"/>
        </w:rPr>
      </w:pPr>
    </w:p>
    <w:p w14:paraId="61835782" w14:textId="77777777" w:rsidR="005C0B80" w:rsidRDefault="003E6C9F">
      <w:pPr>
        <w:jc w:val="both"/>
        <w:rPr>
          <w:rFonts w:ascii="Times New Roman" w:hAnsi="Times New Roman"/>
          <w:i/>
          <w:iCs/>
          <w:sz w:val="22"/>
          <w:szCs w:val="22"/>
        </w:rPr>
      </w:pPr>
      <w:r>
        <w:rPr>
          <w:rFonts w:ascii="Times New Roman" w:hAnsi="Times New Roman"/>
          <w:i/>
          <w:iCs/>
          <w:sz w:val="22"/>
          <w:szCs w:val="22"/>
        </w:rPr>
        <w:t>Alfonso, A. A., Mongan, A. E., dan Memah, M. F. (2016). Gambaran kadar kreat</w:t>
      </w:r>
      <w:r>
        <w:rPr>
          <w:rFonts w:ascii="Times New Roman" w:hAnsi="Times New Roman"/>
          <w:i/>
          <w:iCs/>
          <w:sz w:val="22"/>
          <w:szCs w:val="22"/>
        </w:rPr>
        <w:t>inin serum</w:t>
      </w:r>
      <w:r>
        <w:rPr>
          <w:rFonts w:ascii="Times New Roman" w:hAnsi="Times New Roman"/>
          <w:i/>
          <w:iCs/>
          <w:sz w:val="22"/>
          <w:szCs w:val="22"/>
        </w:rPr>
        <w:tab/>
        <w:t>pada pasien penyakit ginjal kronik stadium 5 non dialisis. eBiomedik, 4(1).</w:t>
      </w:r>
    </w:p>
    <w:p w14:paraId="06C10101" w14:textId="77777777" w:rsidR="005C0B80" w:rsidRDefault="003E6C9F">
      <w:pPr>
        <w:jc w:val="both"/>
        <w:rPr>
          <w:rFonts w:ascii="Times New Roman" w:hAnsi="Times New Roman"/>
          <w:i/>
          <w:iCs/>
          <w:sz w:val="22"/>
          <w:szCs w:val="22"/>
        </w:rPr>
      </w:pPr>
      <w:r>
        <w:rPr>
          <w:rFonts w:ascii="Times New Roman" w:hAnsi="Times New Roman"/>
          <w:i/>
          <w:iCs/>
          <w:sz w:val="22"/>
          <w:szCs w:val="22"/>
        </w:rPr>
        <w:t>Baradero, Mary,. 2008. Asuhan Keperawatan ‘Klien Gangguan Ginjal’. ECG. Jakarta</w:t>
      </w:r>
    </w:p>
    <w:p w14:paraId="3550309F" w14:textId="77777777" w:rsidR="005C0B80" w:rsidRDefault="003E6C9F">
      <w:pPr>
        <w:jc w:val="both"/>
        <w:rPr>
          <w:rFonts w:ascii="Times New Roman" w:hAnsi="Times New Roman"/>
          <w:i/>
          <w:iCs/>
          <w:sz w:val="22"/>
          <w:szCs w:val="22"/>
        </w:rPr>
      </w:pPr>
      <w:r>
        <w:rPr>
          <w:rFonts w:ascii="Times New Roman" w:hAnsi="Times New Roman"/>
          <w:i/>
          <w:iCs/>
          <w:sz w:val="22"/>
          <w:szCs w:val="22"/>
        </w:rPr>
        <w:t>PERNEFRI. (2012). 5th Annual Report of Indonesia Renal Registry.</w:t>
      </w:r>
      <w:r>
        <w:rPr>
          <w:rFonts w:ascii="Times New Roman" w:hAnsi="Times New Roman"/>
          <w:i/>
          <w:iCs/>
          <w:sz w:val="22"/>
          <w:szCs w:val="22"/>
        </w:rPr>
        <w:tab/>
      </w:r>
      <w:r>
        <w:rPr>
          <w:rFonts w:ascii="Times New Roman" w:hAnsi="Times New Roman"/>
          <w:i/>
          <w:iCs/>
          <w:sz w:val="22"/>
          <w:szCs w:val="22"/>
        </w:rPr>
        <w:t>http://www.pernefriinasn.org/laporan/5th%20annual%20report%20%20IRR%202</w:t>
      </w:r>
      <w:r>
        <w:rPr>
          <w:rFonts w:ascii="Times New Roman" w:hAnsi="Times New Roman"/>
          <w:i/>
          <w:iCs/>
          <w:sz w:val="22"/>
          <w:szCs w:val="22"/>
        </w:rPr>
        <w:tab/>
        <w:t>12</w:t>
      </w:r>
    </w:p>
    <w:p w14:paraId="60661282" w14:textId="77777777" w:rsidR="005C0B80" w:rsidRDefault="003E6C9F">
      <w:pPr>
        <w:jc w:val="both"/>
        <w:rPr>
          <w:rFonts w:ascii="Times New Roman" w:hAnsi="Times New Roman"/>
          <w:i/>
          <w:iCs/>
          <w:sz w:val="22"/>
          <w:szCs w:val="22"/>
        </w:rPr>
      </w:pPr>
      <w:r>
        <w:rPr>
          <w:rFonts w:ascii="Times New Roman" w:hAnsi="Times New Roman"/>
          <w:i/>
          <w:iCs/>
          <w:sz w:val="22"/>
          <w:szCs w:val="22"/>
        </w:rPr>
        <w:t>Wein AJ, et al (2012). Campbell-Walsh Urology [ebook], 10th ed. Philadelphia: Elseviers</w:t>
      </w:r>
      <w:r>
        <w:rPr>
          <w:rFonts w:ascii="Times New Roman" w:hAnsi="Times New Roman"/>
          <w:i/>
          <w:iCs/>
          <w:sz w:val="22"/>
          <w:szCs w:val="22"/>
        </w:rPr>
        <w:tab/>
        <w:t>Saunders.p.52,1026,1029-30.</w:t>
      </w:r>
    </w:p>
    <w:p w14:paraId="46E101C2" w14:textId="77777777" w:rsidR="005C0B80" w:rsidRDefault="003E6C9F">
      <w:pPr>
        <w:jc w:val="both"/>
        <w:rPr>
          <w:rFonts w:ascii="Times New Roman" w:hAnsi="Times New Roman"/>
          <w:i/>
          <w:iCs/>
          <w:sz w:val="22"/>
          <w:szCs w:val="22"/>
        </w:rPr>
      </w:pPr>
      <w:r>
        <w:rPr>
          <w:rFonts w:ascii="Times New Roman" w:hAnsi="Times New Roman"/>
          <w:i/>
          <w:iCs/>
          <w:sz w:val="22"/>
          <w:szCs w:val="22"/>
        </w:rPr>
        <w:t>Kovesdy CP, Trivedi BK, Kalantar-Zadeh K, Anderson JE. (2006). As</w:t>
      </w:r>
      <w:r>
        <w:rPr>
          <w:rFonts w:ascii="Times New Roman" w:hAnsi="Times New Roman"/>
          <w:i/>
          <w:iCs/>
          <w:sz w:val="22"/>
          <w:szCs w:val="22"/>
        </w:rPr>
        <w:t>sociation of anemia</w:t>
      </w:r>
      <w:r>
        <w:rPr>
          <w:rFonts w:ascii="Times New Roman" w:hAnsi="Times New Roman"/>
          <w:i/>
          <w:iCs/>
          <w:sz w:val="22"/>
          <w:szCs w:val="22"/>
        </w:rPr>
        <w:tab/>
        <w:t>with outcomes in men with moderate and severe chronic kidney disease. Kidney Int.</w:t>
      </w:r>
      <w:r>
        <w:rPr>
          <w:rFonts w:ascii="Times New Roman" w:hAnsi="Times New Roman"/>
          <w:i/>
          <w:iCs/>
          <w:sz w:val="22"/>
          <w:szCs w:val="22"/>
        </w:rPr>
        <w:tab/>
        <w:t>Feb;69(3):560-4.</w:t>
      </w:r>
    </w:p>
    <w:p w14:paraId="410D44F8" w14:textId="77777777" w:rsidR="005C0B80" w:rsidRDefault="003E6C9F">
      <w:pPr>
        <w:jc w:val="both"/>
        <w:rPr>
          <w:rFonts w:ascii="Times New Roman" w:hAnsi="Times New Roman"/>
          <w:i/>
          <w:iCs/>
          <w:sz w:val="22"/>
          <w:szCs w:val="22"/>
        </w:rPr>
      </w:pPr>
      <w:r>
        <w:rPr>
          <w:rFonts w:ascii="Times New Roman" w:hAnsi="Times New Roman"/>
          <w:i/>
          <w:iCs/>
          <w:sz w:val="22"/>
          <w:szCs w:val="22"/>
        </w:rPr>
        <w:t>KDOQI National Kidney Foundation (2006): KDOQI Clinical Practice Guidelines and</w:t>
      </w:r>
      <w:r>
        <w:rPr>
          <w:rFonts w:ascii="Times New Roman" w:hAnsi="Times New Roman"/>
          <w:i/>
          <w:iCs/>
          <w:sz w:val="22"/>
          <w:szCs w:val="22"/>
        </w:rPr>
        <w:tab/>
        <w:t>Clinical Practice Recommendations for Anemia in Chronic K</w:t>
      </w:r>
      <w:r>
        <w:rPr>
          <w:rFonts w:ascii="Times New Roman" w:hAnsi="Times New Roman"/>
          <w:i/>
          <w:iCs/>
          <w:sz w:val="22"/>
          <w:szCs w:val="22"/>
        </w:rPr>
        <w:t>idney Disease. Am J</w:t>
      </w:r>
      <w:r>
        <w:rPr>
          <w:rFonts w:ascii="Times New Roman" w:hAnsi="Times New Roman"/>
          <w:i/>
          <w:iCs/>
          <w:sz w:val="22"/>
          <w:szCs w:val="22"/>
        </w:rPr>
        <w:tab/>
        <w:t>Kidney Dis 47 [Suppl 3]: S11– S145</w:t>
      </w:r>
    </w:p>
    <w:p w14:paraId="351BC199" w14:textId="77777777" w:rsidR="005C0B80" w:rsidRDefault="003E6C9F">
      <w:pPr>
        <w:jc w:val="both"/>
        <w:rPr>
          <w:rFonts w:ascii="Times New Roman" w:hAnsi="Times New Roman"/>
          <w:i/>
          <w:iCs/>
          <w:sz w:val="22"/>
          <w:szCs w:val="22"/>
        </w:rPr>
      </w:pPr>
      <w:r>
        <w:rPr>
          <w:rFonts w:ascii="Times New Roman" w:hAnsi="Times New Roman"/>
          <w:i/>
          <w:iCs/>
          <w:sz w:val="22"/>
          <w:szCs w:val="22"/>
        </w:rPr>
        <w:t>Smeltzer, Bare. (2006). Medical Surgical Nursing Brunner and Suddarth Vol. 2. EGC.</w:t>
      </w:r>
      <w:r>
        <w:rPr>
          <w:rFonts w:ascii="Times New Roman" w:hAnsi="Times New Roman"/>
          <w:i/>
          <w:iCs/>
          <w:sz w:val="22"/>
          <w:szCs w:val="22"/>
        </w:rPr>
        <w:tab/>
        <w:t>Jakarta.</w:t>
      </w:r>
    </w:p>
    <w:p w14:paraId="04DEECD1" w14:textId="77777777" w:rsidR="005C0B80" w:rsidRDefault="003E6C9F">
      <w:pPr>
        <w:jc w:val="both"/>
        <w:rPr>
          <w:rFonts w:ascii="Times New Roman" w:hAnsi="Times New Roman"/>
          <w:i/>
          <w:iCs/>
          <w:sz w:val="22"/>
          <w:szCs w:val="22"/>
        </w:rPr>
      </w:pPr>
      <w:r>
        <w:rPr>
          <w:rFonts w:ascii="Times New Roman" w:hAnsi="Times New Roman"/>
          <w:i/>
          <w:iCs/>
          <w:sz w:val="22"/>
          <w:szCs w:val="22"/>
        </w:rPr>
        <w:t>KDIGO Clinical Practice Guideline for Anemia in Chronic Kidney Disease. VOL 2 | ISSUE</w:t>
      </w:r>
      <w:r>
        <w:rPr>
          <w:rFonts w:ascii="Times New Roman" w:hAnsi="Times New Roman"/>
          <w:i/>
          <w:iCs/>
          <w:sz w:val="22"/>
          <w:szCs w:val="22"/>
        </w:rPr>
        <w:tab/>
        <w:t>4 | AUGUST (2) 2012.</w:t>
      </w:r>
    </w:p>
    <w:p w14:paraId="772FC66B" w14:textId="77777777" w:rsidR="005C0B80" w:rsidRDefault="003E6C9F">
      <w:pPr>
        <w:jc w:val="both"/>
        <w:rPr>
          <w:rFonts w:ascii="Times New Roman" w:hAnsi="Times New Roman"/>
          <w:i/>
          <w:iCs/>
          <w:sz w:val="22"/>
          <w:szCs w:val="22"/>
        </w:rPr>
      </w:pPr>
      <w:r>
        <w:rPr>
          <w:rFonts w:ascii="Times New Roman" w:hAnsi="Times New Roman"/>
          <w:i/>
          <w:iCs/>
          <w:sz w:val="22"/>
          <w:szCs w:val="22"/>
        </w:rPr>
        <w:t>Ta</w:t>
      </w:r>
      <w:r>
        <w:rPr>
          <w:rFonts w:ascii="Times New Roman" w:hAnsi="Times New Roman"/>
          <w:i/>
          <w:iCs/>
          <w:sz w:val="22"/>
          <w:szCs w:val="22"/>
        </w:rPr>
        <w:t>naka A, Suemaru A, Araki H (2007). A New Approach for Evaluating Renal Function and</w:t>
      </w:r>
      <w:r>
        <w:rPr>
          <w:rFonts w:ascii="Times New Roman" w:hAnsi="Times New Roman"/>
          <w:i/>
          <w:iCs/>
          <w:sz w:val="22"/>
          <w:szCs w:val="22"/>
        </w:rPr>
        <w:tab/>
        <w:t>Its Practical Application. J Pharmacol Sci 105, 1 – 5</w:t>
      </w:r>
    </w:p>
    <w:p w14:paraId="7EDBF56C" w14:textId="77777777" w:rsidR="005C0B80" w:rsidRDefault="003E6C9F">
      <w:pPr>
        <w:jc w:val="both"/>
        <w:rPr>
          <w:rFonts w:ascii="Times New Roman" w:hAnsi="Times New Roman"/>
          <w:i/>
          <w:iCs/>
          <w:sz w:val="22"/>
          <w:szCs w:val="22"/>
        </w:rPr>
      </w:pPr>
      <w:r>
        <w:rPr>
          <w:rFonts w:ascii="Times New Roman" w:hAnsi="Times New Roman"/>
          <w:i/>
          <w:iCs/>
          <w:sz w:val="22"/>
          <w:szCs w:val="22"/>
        </w:rPr>
        <w:t>Nurko S (2006). Anemia in chronic kidney disease: Causes, diagnosis, treatment. Cleveland</w:t>
      </w:r>
      <w:r>
        <w:rPr>
          <w:rFonts w:ascii="Times New Roman" w:hAnsi="Times New Roman"/>
          <w:i/>
          <w:iCs/>
          <w:sz w:val="22"/>
          <w:szCs w:val="22"/>
        </w:rPr>
        <w:tab/>
        <w:t xml:space="preserve">Clinic Journal Of Medicine. </w:t>
      </w:r>
      <w:r>
        <w:rPr>
          <w:rFonts w:ascii="Times New Roman" w:hAnsi="Times New Roman"/>
          <w:i/>
          <w:iCs/>
          <w:sz w:val="22"/>
          <w:szCs w:val="22"/>
        </w:rPr>
        <w:t>73(3):289-97.</w:t>
      </w:r>
    </w:p>
    <w:p w14:paraId="5763287E" w14:textId="77777777" w:rsidR="005C0B80" w:rsidRDefault="003E6C9F">
      <w:pPr>
        <w:jc w:val="both"/>
        <w:rPr>
          <w:rFonts w:ascii="Times New Roman" w:hAnsi="Times New Roman" w:cs="Times New Roman"/>
          <w:i/>
          <w:iCs/>
          <w:sz w:val="22"/>
          <w:szCs w:val="22"/>
        </w:rPr>
      </w:pPr>
      <w:r>
        <w:rPr>
          <w:rFonts w:ascii="Times New Roman" w:hAnsi="Times New Roman"/>
          <w:i/>
          <w:iCs/>
          <w:sz w:val="22"/>
          <w:szCs w:val="22"/>
        </w:rPr>
        <w:t>World Health Organization (WHO). (2011). Haemoglobin concentrations for the diagnosis</w:t>
      </w:r>
      <w:r>
        <w:rPr>
          <w:rFonts w:ascii="Times New Roman" w:hAnsi="Times New Roman"/>
          <w:i/>
          <w:iCs/>
          <w:sz w:val="22"/>
          <w:szCs w:val="22"/>
        </w:rPr>
        <w:tab/>
        <w:t>of anemia and assessment of severity. Geneva: Vitamin and Mineral Nutrition</w:t>
      </w:r>
      <w:r>
        <w:rPr>
          <w:rFonts w:ascii="Times New Roman" w:hAnsi="Times New Roman"/>
          <w:i/>
          <w:iCs/>
          <w:sz w:val="22"/>
          <w:szCs w:val="22"/>
        </w:rPr>
        <w:tab/>
        <w:t>Information System.</w:t>
      </w:r>
    </w:p>
    <w:p w14:paraId="12155825" w14:textId="77777777" w:rsidR="005C0B80" w:rsidRDefault="005C0B80">
      <w:pPr>
        <w:spacing w:line="240" w:lineRule="auto"/>
        <w:jc w:val="both"/>
        <w:rPr>
          <w:rFonts w:ascii="Times New Roman" w:hAnsi="Times New Roman" w:cs="Times New Roman"/>
          <w:sz w:val="22"/>
          <w:szCs w:val="22"/>
        </w:rPr>
      </w:pPr>
    </w:p>
    <w:sectPr w:rsidR="005C0B80">
      <w:headerReference w:type="default" r:id="rId9"/>
      <w:footerReference w:type="default" r:id="rId10"/>
      <w:pgSz w:w="11850" w:h="16783"/>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CB5DB" w14:textId="77777777" w:rsidR="003E6C9F" w:rsidRDefault="003E6C9F">
      <w:pPr>
        <w:spacing w:line="240" w:lineRule="auto"/>
      </w:pPr>
      <w:r>
        <w:separator/>
      </w:r>
    </w:p>
  </w:endnote>
  <w:endnote w:type="continuationSeparator" w:id="0">
    <w:p w14:paraId="6C696229" w14:textId="77777777" w:rsidR="003E6C9F" w:rsidRDefault="003E6C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CB921" w14:textId="77777777" w:rsidR="005C0B80" w:rsidRDefault="003E6C9F">
    <w:pPr>
      <w:pStyle w:val="Footer"/>
    </w:pPr>
    <w:r>
      <w:rPr>
        <w:noProof/>
        <w:lang w:eastAsia="en-US"/>
      </w:rPr>
      <mc:AlternateContent>
        <mc:Choice Requires="wps">
          <w:drawing>
            <wp:anchor distT="0" distB="0" distL="114300" distR="114300" simplePos="0" relativeHeight="251661312" behindDoc="0" locked="0" layoutInCell="1" allowOverlap="1" wp14:anchorId="227594A2" wp14:editId="13D3CC58">
              <wp:simplePos x="0" y="0"/>
              <wp:positionH relativeFrom="margin">
                <wp:posOffset>5041265</wp:posOffset>
              </wp:positionH>
              <wp:positionV relativeFrom="paragraph">
                <wp:posOffset>-266700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D0AD1" w14:textId="77777777" w:rsidR="005C0B80" w:rsidRDefault="003E6C9F">
                          <w:pPr>
                            <w:pStyle w:val="Footer"/>
                            <w:rPr>
                              <w:rFonts w:ascii="Times New Roman" w:hAnsi="Times New Roman" w:cs="Times New Roman"/>
                              <w:i/>
                              <w:iCs/>
                              <w:sz w:val="16"/>
                              <w:szCs w:val="16"/>
                            </w:rPr>
                          </w:pPr>
                          <w:r>
                            <w:rPr>
                              <w:rFonts w:ascii="Times New Roman" w:hAnsi="Times New Roman" w:cs="Times New Roman"/>
                              <w:i/>
                              <w:iCs/>
                              <w:sz w:val="16"/>
                              <w:szCs w:val="16"/>
                            </w:rPr>
                            <w:fldChar w:fldCharType="begin"/>
                          </w:r>
                          <w:r>
                            <w:rPr>
                              <w:rFonts w:ascii="Times New Roman" w:hAnsi="Times New Roman" w:cs="Times New Roman"/>
                              <w:i/>
                              <w:iCs/>
                              <w:sz w:val="16"/>
                              <w:szCs w:val="16"/>
                            </w:rPr>
                            <w:instrText xml:space="preserve"> PAGE  \* MERGEFORMAT </w:instrText>
                          </w:r>
                          <w:r>
                            <w:rPr>
                              <w:rFonts w:ascii="Times New Roman" w:hAnsi="Times New Roman" w:cs="Times New Roman"/>
                              <w:i/>
                              <w:iCs/>
                              <w:sz w:val="16"/>
                              <w:szCs w:val="16"/>
                            </w:rPr>
                            <w:fldChar w:fldCharType="separate"/>
                          </w:r>
                          <w:r>
                            <w:rPr>
                              <w:rFonts w:ascii="Times New Roman" w:hAnsi="Times New Roman" w:cs="Times New Roman"/>
                              <w:i/>
                              <w:iCs/>
                              <w:sz w:val="16"/>
                              <w:szCs w:val="16"/>
                            </w:rPr>
                            <w:t>4</w:t>
                          </w:r>
                          <w:r>
                            <w:rPr>
                              <w:rFonts w:ascii="Times New Roman" w:hAnsi="Times New Roman" w:cs="Times New Roman"/>
                              <w:i/>
                              <w:iCs/>
                              <w:sz w:val="16"/>
                              <w:szCs w:val="16"/>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396.95pt;margin-top:-21pt;height:144pt;width:144pt;mso-position-horizontal-relative:margin;mso-wrap-style:none;z-index:251661312;mso-width-relative:page;mso-height-relative:page;" filled="f" stroked="f" coordsize="21600,21600" o:gfxdata="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F6PVe9kAAAAM&#10;AQAADwAAAAAAAAABACAAAAAiAAAAZHJzL2Rvd25yZXYueG1sUEsBAhQAFAAAAAgAh07iQPWp7Qcb&#10;AgAAVAQAAA4AAAAAAAAAAQAgAAAAKAEAAGRycy9lMm9Eb2MueG1sUEsFBgAAAAAGAAYAWQEAALUF&#10;AAAAAA==&#10;">
              <v:fill on="f" focussize="0,0"/>
              <v:stroke on="f" weight="0.5pt"/>
              <v:imagedata o:title=""/>
              <o:lock v:ext="edit" aspectratio="f"/>
              <v:textbox inset="0mm,0mm,0mm,0mm" style="mso-fit-shape-to-text:t;">
                <w:txbxContent>
                  <w:p>
                    <w:pPr>
                      <w:pStyle w:val="4"/>
                      <w:rPr>
                        <w:rFonts w:ascii="Times New Roman" w:hAnsi="Times New Roman" w:cs="Times New Roman"/>
                        <w:i/>
                        <w:iCs/>
                        <w:sz w:val="16"/>
                        <w:szCs w:val="16"/>
                      </w:rPr>
                    </w:pPr>
                    <w:r>
                      <w:rPr>
                        <w:rFonts w:ascii="Times New Roman" w:hAnsi="Times New Roman" w:cs="Times New Roman"/>
                        <w:i/>
                        <w:iCs/>
                        <w:sz w:val="16"/>
                        <w:szCs w:val="16"/>
                      </w:rPr>
                      <w:fldChar w:fldCharType="begin"/>
                    </w:r>
                    <w:r>
                      <w:rPr>
                        <w:rFonts w:ascii="Times New Roman" w:hAnsi="Times New Roman" w:cs="Times New Roman"/>
                        <w:i/>
                        <w:iCs/>
                        <w:sz w:val="16"/>
                        <w:szCs w:val="16"/>
                      </w:rPr>
                      <w:instrText xml:space="preserve"> PAGE  \* MERGEFORMAT </w:instrText>
                    </w:r>
                    <w:r>
                      <w:rPr>
                        <w:rFonts w:ascii="Times New Roman" w:hAnsi="Times New Roman" w:cs="Times New Roman"/>
                        <w:i/>
                        <w:iCs/>
                        <w:sz w:val="16"/>
                        <w:szCs w:val="16"/>
                      </w:rPr>
                      <w:fldChar w:fldCharType="separate"/>
                    </w:r>
                    <w:r>
                      <w:rPr>
                        <w:rFonts w:ascii="Times New Roman" w:hAnsi="Times New Roman" w:cs="Times New Roman"/>
                        <w:i/>
                        <w:iCs/>
                        <w:sz w:val="16"/>
                        <w:szCs w:val="16"/>
                      </w:rPr>
                      <w:t>4</w:t>
                    </w:r>
                    <w:r>
                      <w:rPr>
                        <w:rFonts w:ascii="Times New Roman" w:hAnsi="Times New Roman" w:cs="Times New Roman"/>
                        <w:i/>
                        <w:iCs/>
                        <w:sz w:val="16"/>
                        <w:szCs w:val="16"/>
                      </w:rPr>
                      <w:fldChar w:fldCharType="end"/>
                    </w:r>
                  </w:p>
                </w:txbxContent>
              </v:textbox>
            </v:shape>
          </w:pict>
        </mc:Fallback>
      </mc:AlternateContent>
    </w:r>
    <w:r>
      <w:rPr>
        <w:noProof/>
        <w:lang w:eastAsia="en-US"/>
      </w:rPr>
      <mc:AlternateContent>
        <mc:Choice Requires="wps">
          <w:drawing>
            <wp:anchor distT="0" distB="0" distL="114300" distR="114300" simplePos="0" relativeHeight="251659264" behindDoc="0" locked="0" layoutInCell="1" allowOverlap="1" wp14:anchorId="3F52F601" wp14:editId="6CB45A61">
              <wp:simplePos x="0" y="0"/>
              <wp:positionH relativeFrom="column">
                <wp:posOffset>0</wp:posOffset>
              </wp:positionH>
              <wp:positionV relativeFrom="paragraph">
                <wp:posOffset>-322580</wp:posOffset>
              </wp:positionV>
              <wp:extent cx="5248275" cy="344805"/>
              <wp:effectExtent l="0" t="0" r="9525" b="17145"/>
              <wp:wrapNone/>
              <wp:docPr id="2" name="Text Box 2"/>
              <wp:cNvGraphicFramePr/>
              <a:graphic xmlns:a="http://schemas.openxmlformats.org/drawingml/2006/main">
                <a:graphicData uri="http://schemas.microsoft.com/office/word/2010/wordprocessingShape">
                  <wps:wsp>
                    <wps:cNvSpPr txBox="1"/>
                    <wps:spPr>
                      <a:xfrm>
                        <a:off x="1143000" y="9756775"/>
                        <a:ext cx="5248275" cy="344805"/>
                      </a:xfrm>
                      <a:prstGeom prst="rect">
                        <a:avLst/>
                      </a:prstGeom>
                      <a:solidFill>
                        <a:schemeClr val="bg1">
                          <a:lumMod val="85000"/>
                        </a:schemeClr>
                      </a:solidFill>
                      <a:ln w="6350">
                        <a:noFill/>
                      </a:ln>
                    </wps:spPr>
                    <wps:style>
                      <a:lnRef idx="0">
                        <a:schemeClr val="accent1"/>
                      </a:lnRef>
                      <a:fillRef idx="0">
                        <a:schemeClr val="accent1"/>
                      </a:fillRef>
                      <a:effectRef idx="0">
                        <a:schemeClr val="accent1"/>
                      </a:effectRef>
                      <a:fontRef idx="minor">
                        <a:schemeClr val="dk1"/>
                      </a:fontRef>
                    </wps:style>
                    <wps:txbx>
                      <w:txbxContent>
                        <w:p w14:paraId="279CDB98" w14:textId="77777777" w:rsidR="005C0B80" w:rsidRDefault="003E6C9F">
                          <w:pPr>
                            <w:pStyle w:val="Footer"/>
                            <w:spacing w:after="0"/>
                            <w:rPr>
                              <w:rFonts w:ascii="Times New Roman" w:hAnsi="Times New Roman" w:cs="Times New Roman"/>
                              <w:b/>
                              <w:bCs/>
                              <w:sz w:val="16"/>
                              <w:szCs w:val="16"/>
                            </w:rPr>
                          </w:pPr>
                          <w:r>
                            <w:rPr>
                              <w:rFonts w:ascii="Times New Roman" w:hAnsi="Times New Roman" w:cs="Times New Roman"/>
                              <w:b/>
                              <w:bCs/>
                              <w:sz w:val="16"/>
                              <w:szCs w:val="16"/>
                            </w:rPr>
                            <w:t>Template Jaringan Laboratorium Medis</w:t>
                          </w:r>
                        </w:p>
                        <w:p w14:paraId="47A124BE" w14:textId="77777777" w:rsidR="005C0B80" w:rsidRDefault="003E6C9F">
                          <w:pPr>
                            <w:pStyle w:val="Footer"/>
                            <w:rPr>
                              <w:rFonts w:ascii="Times New Roman" w:hAnsi="Times New Roman" w:cs="Times New Roman"/>
                              <w:i/>
                              <w:iCs/>
                              <w:sz w:val="16"/>
                              <w:szCs w:val="16"/>
                            </w:rPr>
                          </w:pPr>
                          <w:r>
                            <w:rPr>
                              <w:rFonts w:ascii="Times New Roman" w:hAnsi="Times New Roman" w:cs="Times New Roman"/>
                              <w:i/>
                              <w:iCs/>
                              <w:sz w:val="16"/>
                              <w:szCs w:val="16"/>
                            </w:rPr>
                            <w:t>http://ejournal.poltekkes-smg.ac.id/ojs/index.php/JLM/</w:t>
                          </w:r>
                        </w:p>
                        <w:p w14:paraId="0C0B74A7" w14:textId="77777777" w:rsidR="005C0B80" w:rsidRDefault="005C0B8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0pt;margin-top:-25.4pt;height:27.15pt;width:413.25pt;z-index:251659264;mso-width-relative:page;mso-height-relative:page;" fillcolor="#D9D9D9 [2732]" filled="t" stroked="f" coordsize="21600,21600" o:gfxdata="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Rag0zV&#10;AAAABgEAAA8AAAAAAAAAAQAgAAAAIgAAAGRycy9kb3ducmV2LnhtbFBLAQIUABQAAAAIAIdO4kBs&#10;12LUXAIAALwEAAAOAAAAAAAAAAEAIAAAACQBAABkcnMvZTJvRG9jLnhtbFBLBQYAAAAABgAGAFkB&#10;AADyBQAAAAA=&#10;">
              <v:fill on="t" focussize="0,0"/>
              <v:stroke on="f" weight="0.5pt"/>
              <v:imagedata o:title=""/>
              <o:lock v:ext="edit" aspectratio="f"/>
              <v:textbox>
                <w:txbxContent>
                  <w:p>
                    <w:pPr>
                      <w:pStyle w:val="4"/>
                      <w:spacing w:after="0"/>
                      <w:rPr>
                        <w:rFonts w:ascii="Times New Roman" w:hAnsi="Times New Roman" w:cs="Times New Roman"/>
                        <w:b/>
                        <w:bCs/>
                        <w:sz w:val="16"/>
                        <w:szCs w:val="16"/>
                      </w:rPr>
                    </w:pPr>
                    <w:r>
                      <w:rPr>
                        <w:rFonts w:ascii="Times New Roman" w:hAnsi="Times New Roman" w:cs="Times New Roman"/>
                        <w:b/>
                        <w:bCs/>
                        <w:sz w:val="16"/>
                        <w:szCs w:val="16"/>
                      </w:rPr>
                      <w:t>Template Jaringan Laboratorium Medis</w:t>
                    </w:r>
                  </w:p>
                  <w:p>
                    <w:pPr>
                      <w:pStyle w:val="4"/>
                      <w:rPr>
                        <w:rFonts w:ascii="Times New Roman" w:hAnsi="Times New Roman" w:cs="Times New Roman"/>
                        <w:i/>
                        <w:iCs/>
                        <w:sz w:val="16"/>
                        <w:szCs w:val="16"/>
                      </w:rPr>
                    </w:pPr>
                    <w:r>
                      <w:rPr>
                        <w:rFonts w:ascii="Times New Roman" w:hAnsi="Times New Roman" w:cs="Times New Roman"/>
                        <w:i/>
                        <w:iCs/>
                        <w:sz w:val="16"/>
                        <w:szCs w:val="16"/>
                      </w:rPr>
                      <w:t>http://ejournal.poltekkes-smg.ac.id/ojs/index.php/JLM/</w:t>
                    </w:r>
                  </w:p>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BB045" w14:textId="77777777" w:rsidR="003E6C9F" w:rsidRDefault="003E6C9F">
      <w:pPr>
        <w:spacing w:after="0" w:line="240" w:lineRule="auto"/>
      </w:pPr>
      <w:r>
        <w:separator/>
      </w:r>
    </w:p>
  </w:footnote>
  <w:footnote w:type="continuationSeparator" w:id="0">
    <w:p w14:paraId="69DC45A8" w14:textId="77777777" w:rsidR="003E6C9F" w:rsidRDefault="003E6C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641F8" w14:textId="77777777" w:rsidR="005C0B80" w:rsidRDefault="003E6C9F">
    <w:pPr>
      <w:pStyle w:val="Header"/>
    </w:pPr>
    <w:r>
      <w:rPr>
        <w:noProof/>
        <w:lang w:eastAsia="en-US"/>
      </w:rPr>
      <mc:AlternateContent>
        <mc:Choice Requires="wps">
          <w:drawing>
            <wp:anchor distT="0" distB="0" distL="114300" distR="114300" simplePos="0" relativeHeight="251660288" behindDoc="0" locked="0" layoutInCell="1" allowOverlap="1" wp14:anchorId="6DB1A13E" wp14:editId="5283B9A3">
              <wp:simplePos x="0" y="0"/>
              <wp:positionH relativeFrom="column">
                <wp:posOffset>-8890</wp:posOffset>
              </wp:positionH>
              <wp:positionV relativeFrom="paragraph">
                <wp:posOffset>1905</wp:posOffset>
              </wp:positionV>
              <wp:extent cx="5247640" cy="351155"/>
              <wp:effectExtent l="0" t="0" r="10160" b="10795"/>
              <wp:wrapNone/>
              <wp:docPr id="3" name="Text Box 3"/>
              <wp:cNvGraphicFramePr/>
              <a:graphic xmlns:a="http://schemas.openxmlformats.org/drawingml/2006/main">
                <a:graphicData uri="http://schemas.microsoft.com/office/word/2010/wordprocessingShape">
                  <wps:wsp>
                    <wps:cNvSpPr txBox="1"/>
                    <wps:spPr>
                      <a:xfrm>
                        <a:off x="1152525" y="459105"/>
                        <a:ext cx="5247640" cy="351155"/>
                      </a:xfrm>
                      <a:prstGeom prst="rect">
                        <a:avLst/>
                      </a:prstGeom>
                      <a:solidFill>
                        <a:schemeClr val="bg1">
                          <a:lumMod val="85000"/>
                        </a:schemeClr>
                      </a:solidFill>
                      <a:ln w="6350">
                        <a:noFill/>
                      </a:ln>
                    </wps:spPr>
                    <wps:style>
                      <a:lnRef idx="0">
                        <a:schemeClr val="accent1"/>
                      </a:lnRef>
                      <a:fillRef idx="0">
                        <a:schemeClr val="accent1"/>
                      </a:fillRef>
                      <a:effectRef idx="0">
                        <a:schemeClr val="accent1"/>
                      </a:effectRef>
                      <a:fontRef idx="minor">
                        <a:schemeClr val="dk1"/>
                      </a:fontRef>
                    </wps:style>
                    <wps:txbx>
                      <w:txbxContent>
                        <w:p w14:paraId="5DFC2928" w14:textId="77777777" w:rsidR="005C0B80" w:rsidRDefault="003E6C9F">
                          <w:pPr>
                            <w:pStyle w:val="Header"/>
                            <w:spacing w:after="0" w:line="240" w:lineRule="auto"/>
                            <w:jc w:val="center"/>
                            <w:rPr>
                              <w:rFonts w:ascii="Times New Roman" w:hAnsi="Times New Roman" w:cs="Times New Roman"/>
                              <w:i/>
                              <w:iCs/>
                              <w:sz w:val="16"/>
                              <w:szCs w:val="16"/>
                            </w:rPr>
                          </w:pPr>
                          <w:r>
                            <w:rPr>
                              <w:rFonts w:ascii="Times New Roman" w:hAnsi="Times New Roman" w:cs="Times New Roman"/>
                              <w:i/>
                              <w:iCs/>
                              <w:sz w:val="16"/>
                              <w:szCs w:val="16"/>
                            </w:rPr>
                            <w:t xml:space="preserve">Template Jurnal </w:t>
                          </w:r>
                          <w:r>
                            <w:rPr>
                              <w:rFonts w:ascii="Times New Roman" w:hAnsi="Times New Roman" w:cs="Times New Roman"/>
                              <w:i/>
                              <w:iCs/>
                              <w:sz w:val="16"/>
                              <w:szCs w:val="16"/>
                            </w:rPr>
                            <w:t>Laboratorium Medis E-ISSN 2685-8495</w:t>
                          </w:r>
                        </w:p>
                        <w:p w14:paraId="2DC3CF5B" w14:textId="77777777" w:rsidR="005C0B80" w:rsidRDefault="003E6C9F">
                          <w:pPr>
                            <w:pStyle w:val="Header"/>
                            <w:jc w:val="center"/>
                            <w:rPr>
                              <w:rFonts w:ascii="Times New Roman" w:hAnsi="Times New Roman" w:cs="Times New Roman"/>
                              <w:i/>
                              <w:iCs/>
                              <w:sz w:val="16"/>
                              <w:szCs w:val="16"/>
                              <w:lang w:val="en"/>
                            </w:rPr>
                          </w:pPr>
                          <w:r>
                            <w:rPr>
                              <w:rFonts w:ascii="Times New Roman" w:hAnsi="Times New Roman" w:cs="Times New Roman"/>
                              <w:i/>
                              <w:iCs/>
                              <w:sz w:val="16"/>
                              <w:szCs w:val="16"/>
                            </w:rPr>
                            <w:t>Vol. 0</w:t>
                          </w:r>
                          <w:r>
                            <w:rPr>
                              <w:rFonts w:ascii="Times New Roman" w:hAnsi="Times New Roman" w:cs="Times New Roman"/>
                              <w:i/>
                              <w:iCs/>
                              <w:sz w:val="16"/>
                              <w:szCs w:val="16"/>
                              <w:lang w:val="en"/>
                            </w:rPr>
                            <w:t>0</w:t>
                          </w:r>
                          <w:r>
                            <w:rPr>
                              <w:rFonts w:ascii="Times New Roman" w:hAnsi="Times New Roman" w:cs="Times New Roman"/>
                              <w:i/>
                              <w:iCs/>
                              <w:sz w:val="16"/>
                              <w:szCs w:val="16"/>
                            </w:rPr>
                            <w:t xml:space="preserve"> No. 0</w:t>
                          </w:r>
                          <w:r>
                            <w:rPr>
                              <w:rFonts w:ascii="Times New Roman" w:hAnsi="Times New Roman" w:cs="Times New Roman"/>
                              <w:i/>
                              <w:iCs/>
                              <w:sz w:val="16"/>
                              <w:szCs w:val="16"/>
                              <w:lang w:val="en"/>
                            </w:rPr>
                            <w:t>0</w:t>
                          </w:r>
                          <w:r>
                            <w:rPr>
                              <w:rFonts w:ascii="Times New Roman" w:hAnsi="Times New Roman" w:cs="Times New Roman"/>
                              <w:i/>
                              <w:iCs/>
                              <w:sz w:val="16"/>
                              <w:szCs w:val="16"/>
                            </w:rPr>
                            <w:t xml:space="preserve"> </w:t>
                          </w:r>
                          <w:r>
                            <w:rPr>
                              <w:rFonts w:ascii="Times New Roman" w:hAnsi="Times New Roman" w:cs="Times New Roman"/>
                              <w:i/>
                              <w:iCs/>
                              <w:sz w:val="16"/>
                              <w:szCs w:val="16"/>
                              <w:lang w:val="en"/>
                            </w:rPr>
                            <w:t xml:space="preserve">Bulan Bulan Tahun </w:t>
                          </w:r>
                          <w:r>
                            <w:rPr>
                              <w:rFonts w:ascii="Times New Roman" w:hAnsi="Times New Roman" w:cs="Times New Roman"/>
                              <w:i/>
                              <w:iCs/>
                              <w:sz w:val="16"/>
                              <w:szCs w:val="16"/>
                            </w:rPr>
                            <w:t>0000</w:t>
                          </w:r>
                        </w:p>
                        <w:p w14:paraId="4BF69825" w14:textId="77777777" w:rsidR="005C0B80" w:rsidRDefault="005C0B80">
                          <w:pPr>
                            <w:pStyle w:val="Header"/>
                            <w:rPr>
                              <w:rFonts w:ascii="Times New Roman" w:hAnsi="Times New Roman" w:cs="Times New Roman"/>
                              <w:i/>
                              <w:iCs/>
                              <w:sz w:val="16"/>
                              <w:szCs w:val="16"/>
                            </w:rPr>
                          </w:pPr>
                        </w:p>
                        <w:p w14:paraId="4E37A539" w14:textId="77777777" w:rsidR="005C0B80" w:rsidRDefault="005C0B8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0.7pt;margin-top:0.15pt;height:27.65pt;width:413.2pt;z-index:251660288;mso-width-relative:page;mso-height-relative:page;" fillcolor="#D9D9D9 [2732]" filled="t" stroked="f" coordsize="21600,21600" o:gfxdata="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sbiqn9UA&#10;AAAGAQAADwAAAAAAAAABACAAAAAiAAAAZHJzL2Rvd25yZXYueG1sUEsBAhQAFAAAAAgAh07iQNxY&#10;u6ZbAgAAuwQAAA4AAAAAAAAAAQAgAAAAJAEAAGRycy9lMm9Eb2MueG1sUEsFBgAAAAAGAAYAWQEA&#10;APEFAAAAAA==&#10;">
              <v:fill on="t" focussize="0,0"/>
              <v:stroke on="f" weight="0.5pt"/>
              <v:imagedata o:title=""/>
              <o:lock v:ext="edit" aspectratio="f"/>
              <v:textbox>
                <w:txbxContent>
                  <w:p>
                    <w:pPr>
                      <w:pStyle w:val="5"/>
                      <w:spacing w:after="0" w:line="240" w:lineRule="auto"/>
                      <w:jc w:val="center"/>
                      <w:rPr>
                        <w:rFonts w:ascii="Times New Roman" w:hAnsi="Times New Roman" w:cs="Times New Roman"/>
                        <w:i/>
                        <w:iCs/>
                        <w:sz w:val="16"/>
                        <w:szCs w:val="16"/>
                      </w:rPr>
                    </w:pPr>
                    <w:r>
                      <w:rPr>
                        <w:rFonts w:ascii="Times New Roman" w:hAnsi="Times New Roman" w:cs="Times New Roman"/>
                        <w:i/>
                        <w:iCs/>
                        <w:sz w:val="16"/>
                        <w:szCs w:val="16"/>
                      </w:rPr>
                      <w:t>Template Jurnal Laboratorium Medis E-ISSN 2685-8495</w:t>
                    </w:r>
                  </w:p>
                  <w:p>
                    <w:pPr>
                      <w:pStyle w:val="5"/>
                      <w:jc w:val="center"/>
                      <w:rPr>
                        <w:rFonts w:ascii="Times New Roman" w:hAnsi="Times New Roman" w:cs="Times New Roman"/>
                        <w:i/>
                        <w:iCs/>
                        <w:sz w:val="16"/>
                        <w:szCs w:val="16"/>
                        <w:lang w:val="en"/>
                      </w:rPr>
                    </w:pPr>
                    <w:r>
                      <w:rPr>
                        <w:rFonts w:ascii="Times New Roman" w:hAnsi="Times New Roman" w:cs="Times New Roman"/>
                        <w:i/>
                        <w:iCs/>
                        <w:sz w:val="16"/>
                        <w:szCs w:val="16"/>
                      </w:rPr>
                      <w:t>Vol. 0</w:t>
                    </w:r>
                    <w:r>
                      <w:rPr>
                        <w:rFonts w:ascii="Times New Roman" w:hAnsi="Times New Roman" w:cs="Times New Roman"/>
                        <w:i/>
                        <w:iCs/>
                        <w:sz w:val="16"/>
                        <w:szCs w:val="16"/>
                        <w:lang w:val="en"/>
                      </w:rPr>
                      <w:t>0</w:t>
                    </w:r>
                    <w:r>
                      <w:rPr>
                        <w:rFonts w:ascii="Times New Roman" w:hAnsi="Times New Roman" w:cs="Times New Roman"/>
                        <w:i/>
                        <w:iCs/>
                        <w:sz w:val="16"/>
                        <w:szCs w:val="16"/>
                      </w:rPr>
                      <w:t xml:space="preserve"> No. 0</w:t>
                    </w:r>
                    <w:r>
                      <w:rPr>
                        <w:rFonts w:ascii="Times New Roman" w:hAnsi="Times New Roman" w:cs="Times New Roman"/>
                        <w:i/>
                        <w:iCs/>
                        <w:sz w:val="16"/>
                        <w:szCs w:val="16"/>
                        <w:lang w:val="en"/>
                      </w:rPr>
                      <w:t>0</w:t>
                    </w:r>
                    <w:r>
                      <w:rPr>
                        <w:rFonts w:ascii="Times New Roman" w:hAnsi="Times New Roman" w:cs="Times New Roman"/>
                        <w:i/>
                        <w:iCs/>
                        <w:sz w:val="16"/>
                        <w:szCs w:val="16"/>
                      </w:rPr>
                      <w:t xml:space="preserve"> </w:t>
                    </w:r>
                    <w:r>
                      <w:rPr>
                        <w:rFonts w:ascii="Times New Roman" w:hAnsi="Times New Roman" w:cs="Times New Roman"/>
                        <w:i/>
                        <w:iCs/>
                        <w:sz w:val="16"/>
                        <w:szCs w:val="16"/>
                        <w:lang w:val="en"/>
                      </w:rPr>
                      <w:t xml:space="preserve">Bulan Bulan Tahun </w:t>
                    </w:r>
                    <w:r>
                      <w:rPr>
                        <w:rFonts w:ascii="Times New Roman" w:hAnsi="Times New Roman" w:cs="Times New Roman"/>
                        <w:i/>
                        <w:iCs/>
                        <w:sz w:val="16"/>
                        <w:szCs w:val="16"/>
                      </w:rPr>
                      <w:t>0000</w:t>
                    </w:r>
                  </w:p>
                  <w:p>
                    <w:pPr>
                      <w:pStyle w:val="5"/>
                      <w:rPr>
                        <w:rFonts w:ascii="Times New Roman" w:hAnsi="Times New Roman" w:cs="Times New Roman"/>
                        <w:i/>
                        <w:iCs/>
                        <w:sz w:val="16"/>
                        <w:szCs w:val="16"/>
                      </w:rPr>
                    </w:pPr>
                  </w:p>
                  <w:p>
                    <w:pPr>
                      <w:rPr>
                        <w:sz w:val="16"/>
                        <w:szCs w:val="1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A9A410"/>
    <w:multiLevelType w:val="singleLevel"/>
    <w:tmpl w:val="72A9A410"/>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BE3E88"/>
    <w:rsid w:val="E5BE8C5E"/>
    <w:rsid w:val="000D0D42"/>
    <w:rsid w:val="002633C9"/>
    <w:rsid w:val="003E6C9F"/>
    <w:rsid w:val="005C0B80"/>
    <w:rsid w:val="005C1ABF"/>
    <w:rsid w:val="007D69AF"/>
    <w:rsid w:val="00CC5675"/>
    <w:rsid w:val="00D12A57"/>
    <w:rsid w:val="00E308D2"/>
    <w:rsid w:val="00FC7C8A"/>
    <w:rsid w:val="01EE1C1D"/>
    <w:rsid w:val="04041352"/>
    <w:rsid w:val="0513742A"/>
    <w:rsid w:val="080B62ED"/>
    <w:rsid w:val="0A4F15BB"/>
    <w:rsid w:val="0DBA3DC2"/>
    <w:rsid w:val="110D7D52"/>
    <w:rsid w:val="14206F74"/>
    <w:rsid w:val="181B180C"/>
    <w:rsid w:val="1C4C5879"/>
    <w:rsid w:val="28AF6B08"/>
    <w:rsid w:val="330C148E"/>
    <w:rsid w:val="453F4360"/>
    <w:rsid w:val="46124AEC"/>
    <w:rsid w:val="46DB4179"/>
    <w:rsid w:val="47BE3E88"/>
    <w:rsid w:val="494B7E08"/>
    <w:rsid w:val="4A91302F"/>
    <w:rsid w:val="4DBECD9C"/>
    <w:rsid w:val="4FE36066"/>
    <w:rsid w:val="513FA1BB"/>
    <w:rsid w:val="53CE3FE3"/>
    <w:rsid w:val="550A3047"/>
    <w:rsid w:val="5FE2095C"/>
    <w:rsid w:val="675F4F69"/>
    <w:rsid w:val="6AFC9973"/>
    <w:rsid w:val="706046A1"/>
    <w:rsid w:val="73561616"/>
    <w:rsid w:val="799D00A1"/>
    <w:rsid w:val="79F90A3F"/>
    <w:rsid w:val="7A230C24"/>
    <w:rsid w:val="7BA40F4F"/>
    <w:rsid w:val="BDEA4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10005"/>
  <w15:docId w15:val="{B1F99F1E-C3B8-4F5F-B778-B36682E4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qFormat/>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n.sofyanit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2244</Words>
  <Characters>12791</Characters>
  <Application>Microsoft Office Word</Application>
  <DocSecurity>0</DocSecurity>
  <Lines>106</Lines>
  <Paragraphs>30</Paragraphs>
  <ScaleCrop>false</ScaleCrop>
  <Company/>
  <LinksUpToDate>false</LinksUpToDate>
  <CharactersWithSpaces>15005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Ruang-Depan</dc:creator>
  <cp:lastModifiedBy>EN Sofyanita</cp:lastModifiedBy>
  <cp:revision>7</cp:revision>
  <cp:lastPrinted>2019-05-28T22:04:00Z</cp:lastPrinted>
  <dcterms:created xsi:type="dcterms:W3CDTF">2019-09-11T00:58:00Z</dcterms:created>
  <dcterms:modified xsi:type="dcterms:W3CDTF">2021-07-01T09:00:00Z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