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82AE43" w14:textId="0873977D" w:rsidR="007C1DE3" w:rsidRPr="008C39BD" w:rsidRDefault="008C39BD" w:rsidP="008C39BD">
      <w:pPr>
        <w:spacing w:after="0" w:line="240" w:lineRule="auto"/>
        <w:jc w:val="center"/>
        <w:rPr>
          <w:rFonts w:ascii="Times New Roman" w:eastAsia="SimSun" w:hAnsi="Times New Roman" w:cs="Times New Roman"/>
          <w:color w:val="7030A0"/>
          <w:sz w:val="24"/>
          <w:szCs w:val="24"/>
          <w:lang w:eastAsia="zh-CN"/>
        </w:rPr>
      </w:pPr>
      <w:r w:rsidRPr="008C39BD">
        <w:rPr>
          <w:rFonts w:ascii="Times New Roman" w:eastAsia="SimSun" w:hAnsi="Times New Roman" w:cs="Times New Roman"/>
          <w:b/>
          <w:bCs/>
          <w:sz w:val="24"/>
          <w:szCs w:val="24"/>
          <w:lang w:eastAsia="zh-CN"/>
        </w:rPr>
        <w:t xml:space="preserve">ANTIBODY SCREENING EXAMINATION ON VOLUNTARY BLOOD DONORS AT </w:t>
      </w:r>
      <w:r w:rsidR="00BD6E71">
        <w:rPr>
          <w:rFonts w:ascii="Times New Roman" w:eastAsia="SimSun" w:hAnsi="Times New Roman" w:cs="Times New Roman"/>
          <w:b/>
          <w:bCs/>
          <w:sz w:val="24"/>
          <w:szCs w:val="24"/>
          <w:lang w:eastAsia="zh-CN"/>
        </w:rPr>
        <w:t xml:space="preserve">BLOOD DONATION UNITS </w:t>
      </w:r>
      <w:r w:rsidRPr="008C39BD">
        <w:rPr>
          <w:rFonts w:ascii="Times New Roman" w:eastAsia="SimSun" w:hAnsi="Times New Roman" w:cs="Times New Roman"/>
          <w:b/>
          <w:bCs/>
          <w:sz w:val="24"/>
          <w:szCs w:val="24"/>
          <w:lang w:eastAsia="zh-CN"/>
        </w:rPr>
        <w:t>BANYUMAS REGENCY IN 2023</w:t>
      </w:r>
    </w:p>
    <w:p w14:paraId="58642E8F" w14:textId="65D14B37" w:rsidR="007C1DE3" w:rsidRDefault="00FC1D73">
      <w:pPr>
        <w:spacing w:after="0" w:line="240" w:lineRule="auto"/>
        <w:jc w:val="center"/>
        <w:rPr>
          <w:rFonts w:ascii="Times New Roman" w:eastAsia="Times New Roman" w:hAnsi="Times New Roman" w:cs="Times New Roman"/>
          <w:sz w:val="24"/>
          <w:szCs w:val="24"/>
        </w:rPr>
      </w:pPr>
      <w:r>
        <w:rPr>
          <w:noProof/>
        </w:rPr>
        <w:drawing>
          <wp:anchor distT="0" distB="0" distL="0" distR="0" simplePos="0" relativeHeight="251658240" behindDoc="1" locked="0" layoutInCell="1" hidden="0" allowOverlap="1" wp14:anchorId="4BE8B664" wp14:editId="71872175">
            <wp:simplePos x="0" y="0"/>
            <wp:positionH relativeFrom="column">
              <wp:posOffset>-267970</wp:posOffset>
            </wp:positionH>
            <wp:positionV relativeFrom="paragraph">
              <wp:posOffset>6350</wp:posOffset>
            </wp:positionV>
            <wp:extent cx="6886575" cy="46347"/>
            <wp:effectExtent l="0" t="0" r="0" b="0"/>
            <wp:wrapNone/>
            <wp:docPr id="21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
                    <a:srcRect b="89881"/>
                    <a:stretch>
                      <a:fillRect/>
                    </a:stretch>
                  </pic:blipFill>
                  <pic:spPr>
                    <a:xfrm>
                      <a:off x="0" y="0"/>
                      <a:ext cx="6886575" cy="46347"/>
                    </a:xfrm>
                    <a:prstGeom prst="rect">
                      <a:avLst/>
                    </a:prstGeom>
                    <a:ln/>
                  </pic:spPr>
                </pic:pic>
              </a:graphicData>
            </a:graphic>
          </wp:anchor>
        </w:drawing>
      </w:r>
    </w:p>
    <w:p w14:paraId="165B0536" w14:textId="4DE25BBA" w:rsidR="007C1DE3" w:rsidRDefault="00A0041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u w:val="single"/>
        </w:rPr>
        <w:t xml:space="preserve">Thalia </w:t>
      </w:r>
      <w:proofErr w:type="spellStart"/>
      <w:r>
        <w:rPr>
          <w:rFonts w:ascii="Times New Roman" w:eastAsia="Times New Roman" w:hAnsi="Times New Roman" w:cs="Times New Roman"/>
          <w:color w:val="000000"/>
          <w:sz w:val="20"/>
          <w:szCs w:val="20"/>
          <w:u w:val="single"/>
        </w:rPr>
        <w:t>Lintang</w:t>
      </w:r>
      <w:proofErr w:type="spellEnd"/>
      <w:r>
        <w:rPr>
          <w:rFonts w:ascii="Times New Roman" w:eastAsia="Times New Roman" w:hAnsi="Times New Roman" w:cs="Times New Roman"/>
          <w:color w:val="000000"/>
          <w:sz w:val="20"/>
          <w:szCs w:val="20"/>
          <w:u w:val="single"/>
        </w:rPr>
        <w:t xml:space="preserve"> Ardhita</w:t>
      </w:r>
      <w:r w:rsidR="004077A7">
        <w:rPr>
          <w:rFonts w:ascii="Times New Roman" w:eastAsia="Times New Roman" w:hAnsi="Times New Roman" w:cs="Times New Roman"/>
          <w:color w:val="000000"/>
          <w:sz w:val="20"/>
          <w:szCs w:val="20"/>
          <w:u w:val="single"/>
          <w:vertAlign w:val="superscript"/>
        </w:rPr>
        <w:t>1</w:t>
      </w:r>
      <w:r w:rsidR="004077A7">
        <w:rPr>
          <w:rFonts w:ascii="Times New Roman" w:eastAsia="Times New Roman" w:hAnsi="Times New Roman" w:cs="Times New Roman"/>
          <w:color w:val="000000"/>
          <w:sz w:val="20"/>
          <w:szCs w:val="20"/>
          <w:u w:val="single"/>
        </w:rPr>
        <w:t xml:space="preserve">; </w:t>
      </w:r>
      <w:r>
        <w:rPr>
          <w:rFonts w:ascii="Times New Roman" w:eastAsia="Times New Roman" w:hAnsi="Times New Roman" w:cs="Times New Roman"/>
          <w:color w:val="000000"/>
          <w:sz w:val="20"/>
          <w:szCs w:val="20"/>
          <w:u w:val="single"/>
        </w:rPr>
        <w:t xml:space="preserve">Devi </w:t>
      </w:r>
      <w:proofErr w:type="spellStart"/>
      <w:r>
        <w:rPr>
          <w:rFonts w:ascii="Times New Roman" w:eastAsia="Times New Roman" w:hAnsi="Times New Roman" w:cs="Times New Roman"/>
          <w:color w:val="000000"/>
          <w:sz w:val="20"/>
          <w:szCs w:val="20"/>
          <w:u w:val="single"/>
        </w:rPr>
        <w:t>Etivia</w:t>
      </w:r>
      <w:proofErr w:type="spellEnd"/>
      <w:r>
        <w:rPr>
          <w:rFonts w:ascii="Times New Roman" w:eastAsia="Times New Roman" w:hAnsi="Times New Roman" w:cs="Times New Roman"/>
          <w:color w:val="000000"/>
          <w:sz w:val="20"/>
          <w:szCs w:val="20"/>
          <w:u w:val="single"/>
        </w:rPr>
        <w:t xml:space="preserve"> Purlinda</w:t>
      </w:r>
      <w:r w:rsidR="004077A7">
        <w:rPr>
          <w:rFonts w:ascii="Times New Roman" w:eastAsia="Times New Roman" w:hAnsi="Times New Roman" w:cs="Times New Roman"/>
          <w:color w:val="000000"/>
          <w:sz w:val="20"/>
          <w:szCs w:val="20"/>
          <w:u w:val="single"/>
          <w:vertAlign w:val="superscript"/>
        </w:rPr>
        <w:t>2</w:t>
      </w:r>
      <w:r w:rsidR="004077A7">
        <w:rPr>
          <w:rFonts w:ascii="Times New Roman" w:eastAsia="Times New Roman" w:hAnsi="Times New Roman" w:cs="Times New Roman"/>
          <w:color w:val="000000"/>
          <w:sz w:val="20"/>
          <w:szCs w:val="20"/>
          <w:u w:val="single"/>
        </w:rPr>
        <w:t xml:space="preserve">; </w:t>
      </w:r>
      <w:r>
        <w:rPr>
          <w:rFonts w:ascii="Times New Roman" w:eastAsia="Times New Roman" w:hAnsi="Times New Roman" w:cs="Times New Roman"/>
          <w:color w:val="000000"/>
          <w:sz w:val="20"/>
          <w:szCs w:val="20"/>
          <w:u w:val="single"/>
        </w:rPr>
        <w:t>Ahmad Riadi</w:t>
      </w:r>
      <w:proofErr w:type="gramStart"/>
      <w:r w:rsidR="004077A7" w:rsidRPr="00DD42A3">
        <w:rPr>
          <w:rFonts w:ascii="Times New Roman" w:eastAsia="Times New Roman" w:hAnsi="Times New Roman" w:cs="Times New Roman"/>
          <w:color w:val="000000"/>
          <w:sz w:val="20"/>
          <w:szCs w:val="20"/>
          <w:u w:val="single"/>
          <w:vertAlign w:val="superscript"/>
        </w:rPr>
        <w:t>3</w:t>
      </w:r>
      <w:r w:rsidR="004077A7">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Widodo</w:t>
      </w:r>
      <w:proofErr w:type="gramEnd"/>
      <w:r w:rsidR="00DD42A3">
        <w:rPr>
          <w:rFonts w:ascii="Times New Roman" w:eastAsia="Times New Roman" w:hAnsi="Times New Roman" w:cs="Times New Roman"/>
          <w:color w:val="000000"/>
          <w:sz w:val="20"/>
          <w:szCs w:val="20"/>
          <w:u w:val="single"/>
          <w:vertAlign w:val="superscript"/>
        </w:rPr>
        <w:t xml:space="preserve">4 </w:t>
      </w:r>
      <w:r w:rsidR="00DD42A3">
        <w:rPr>
          <w:rFonts w:ascii="Times New Roman" w:eastAsia="Times New Roman" w:hAnsi="Times New Roman" w:cs="Times New Roman"/>
          <w:color w:val="000000"/>
          <w:sz w:val="20"/>
          <w:szCs w:val="20"/>
        </w:rPr>
        <w:t>;</w:t>
      </w:r>
      <w:r w:rsidR="004077A7">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Sri Lestari</w:t>
      </w:r>
      <w:r w:rsidR="00DD42A3">
        <w:rPr>
          <w:rFonts w:ascii="Times New Roman" w:eastAsia="Times New Roman" w:hAnsi="Times New Roman" w:cs="Times New Roman"/>
          <w:color w:val="000000"/>
          <w:sz w:val="20"/>
          <w:szCs w:val="20"/>
          <w:vertAlign w:val="superscript"/>
        </w:rPr>
        <w:t>5</w:t>
      </w:r>
      <w:r w:rsidR="004077A7">
        <w:rPr>
          <w:rFonts w:ascii="Times New Roman" w:eastAsia="Times New Roman" w:hAnsi="Times New Roman" w:cs="Times New Roman"/>
          <w:color w:val="000000"/>
          <w:sz w:val="20"/>
          <w:szCs w:val="20"/>
          <w:vertAlign w:val="superscript"/>
        </w:rPr>
        <w:t xml:space="preserve"> </w:t>
      </w:r>
    </w:p>
    <w:p w14:paraId="09F78771" w14:textId="74A79084" w:rsidR="00062DCD" w:rsidRDefault="00062DCD" w:rsidP="00062DCD">
      <w:pPr>
        <w:spacing w:after="0" w:line="240" w:lineRule="auto"/>
        <w:jc w:val="center"/>
        <w:rPr>
          <w:rFonts w:ascii="Times New Roman" w:eastAsia="Times New Roman" w:hAnsi="Times New Roman" w:cs="Times New Roman"/>
        </w:rPr>
      </w:pPr>
      <w:r>
        <w:rPr>
          <w:rFonts w:ascii="Times New Roman" w:eastAsia="Times New Roman" w:hAnsi="Times New Roman" w:cs="Times New Roman"/>
          <w:i/>
          <w:color w:val="000000"/>
          <w:highlight w:val="white"/>
          <w:vertAlign w:val="superscript"/>
        </w:rPr>
        <w:t>12345</w:t>
      </w:r>
      <w:r>
        <w:rPr>
          <w:rFonts w:ascii="Times New Roman" w:eastAsia="Times New Roman" w:hAnsi="Times New Roman" w:cs="Times New Roman"/>
          <w:i/>
          <w:color w:val="000000"/>
          <w:highlight w:val="white"/>
        </w:rPr>
        <w:t xml:space="preserve"> Poltekkes </w:t>
      </w:r>
      <w:proofErr w:type="spellStart"/>
      <w:r>
        <w:rPr>
          <w:rFonts w:ascii="Times New Roman" w:eastAsia="Times New Roman" w:hAnsi="Times New Roman" w:cs="Times New Roman"/>
          <w:i/>
          <w:color w:val="000000"/>
          <w:highlight w:val="white"/>
        </w:rPr>
        <w:t>Kemenkes</w:t>
      </w:r>
      <w:proofErr w:type="spellEnd"/>
      <w:r>
        <w:rPr>
          <w:rFonts w:ascii="Times New Roman" w:eastAsia="Times New Roman" w:hAnsi="Times New Roman" w:cs="Times New Roman"/>
          <w:i/>
          <w:color w:val="000000"/>
          <w:highlight w:val="white"/>
        </w:rPr>
        <w:t xml:space="preserve"> Semarang, Indonesia</w:t>
      </w:r>
    </w:p>
    <w:p w14:paraId="2AD12C37" w14:textId="77777777" w:rsidR="007C1DE3" w:rsidRDefault="007C1DE3">
      <w:pPr>
        <w:spacing w:after="0" w:line="240" w:lineRule="auto"/>
        <w:rPr>
          <w:rFonts w:ascii="Times New Roman" w:eastAsia="Times New Roman" w:hAnsi="Times New Roman" w:cs="Times New Roman"/>
          <w:sz w:val="24"/>
          <w:szCs w:val="24"/>
        </w:rPr>
      </w:pPr>
    </w:p>
    <w:tbl>
      <w:tblPr>
        <w:tblStyle w:val="a"/>
        <w:tblW w:w="6887" w:type="dxa"/>
        <w:jc w:val="center"/>
        <w:tblLayout w:type="fixed"/>
        <w:tblLook w:val="0400" w:firstRow="0" w:lastRow="0" w:firstColumn="0" w:lastColumn="0" w:noHBand="0" w:noVBand="1"/>
      </w:tblPr>
      <w:tblGrid>
        <w:gridCol w:w="6887"/>
      </w:tblGrid>
      <w:tr w:rsidR="007C1DE3" w14:paraId="256B537B" w14:textId="77777777">
        <w:trPr>
          <w:trHeight w:val="880"/>
          <w:jc w:val="center"/>
        </w:trPr>
        <w:tc>
          <w:tcPr>
            <w:tcW w:w="6887" w:type="dxa"/>
            <w:tcMar>
              <w:top w:w="0" w:type="dxa"/>
              <w:left w:w="108" w:type="dxa"/>
              <w:bottom w:w="0" w:type="dxa"/>
              <w:right w:w="108" w:type="dxa"/>
            </w:tcMar>
          </w:tcPr>
          <w:p w14:paraId="359A0C7A" w14:textId="596904E9" w:rsidR="007C1DE3" w:rsidRDefault="004077A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 xml:space="preserve">Corresponding author: </w:t>
            </w:r>
            <w:r w:rsidR="00A00414">
              <w:rPr>
                <w:rFonts w:ascii="Times New Roman" w:eastAsia="Times New Roman" w:hAnsi="Times New Roman" w:cs="Times New Roman"/>
                <w:color w:val="000000"/>
                <w:sz w:val="20"/>
                <w:szCs w:val="20"/>
              </w:rPr>
              <w:t xml:space="preserve">Devi </w:t>
            </w:r>
            <w:proofErr w:type="spellStart"/>
            <w:r w:rsidR="00A00414">
              <w:rPr>
                <w:rFonts w:ascii="Times New Roman" w:eastAsia="Times New Roman" w:hAnsi="Times New Roman" w:cs="Times New Roman"/>
                <w:color w:val="000000"/>
                <w:sz w:val="20"/>
                <w:szCs w:val="20"/>
              </w:rPr>
              <w:t>Etevia</w:t>
            </w:r>
            <w:proofErr w:type="spellEnd"/>
            <w:r w:rsidR="00A00414">
              <w:rPr>
                <w:rFonts w:ascii="Times New Roman" w:eastAsia="Times New Roman" w:hAnsi="Times New Roman" w:cs="Times New Roman"/>
                <w:color w:val="000000"/>
                <w:sz w:val="20"/>
                <w:szCs w:val="20"/>
              </w:rPr>
              <w:t xml:space="preserve"> </w:t>
            </w:r>
            <w:proofErr w:type="spellStart"/>
            <w:r w:rsidR="00A00414">
              <w:rPr>
                <w:rFonts w:ascii="Times New Roman" w:eastAsia="Times New Roman" w:hAnsi="Times New Roman" w:cs="Times New Roman"/>
                <w:color w:val="000000"/>
                <w:sz w:val="20"/>
                <w:szCs w:val="20"/>
              </w:rPr>
              <w:t>Purlinda</w:t>
            </w:r>
            <w:proofErr w:type="spellEnd"/>
            <w:r w:rsidR="00A00414">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 xml:space="preserve"> </w:t>
            </w:r>
          </w:p>
          <w:p w14:paraId="71DD7DA2" w14:textId="033B4349" w:rsidR="007C1DE3" w:rsidRDefault="004077A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 xml:space="preserve">Email: </w:t>
            </w:r>
            <w:r w:rsidR="00A00414" w:rsidRPr="00A00414">
              <w:rPr>
                <w:rFonts w:ascii="Times New Roman" w:eastAsia="Times New Roman" w:hAnsi="Times New Roman" w:cs="Times New Roman"/>
                <w:color w:val="000000"/>
                <w:sz w:val="20"/>
                <w:szCs w:val="20"/>
              </w:rPr>
              <w:t>devietivia12@gmail.com</w:t>
            </w:r>
          </w:p>
          <w:p w14:paraId="6AC868DA" w14:textId="2C11BD51" w:rsidR="007C1DE3" w:rsidRDefault="007C1DE3">
            <w:pPr>
              <w:shd w:val="clear" w:color="auto" w:fill="FFFFFF"/>
              <w:spacing w:after="0" w:line="240" w:lineRule="auto"/>
              <w:jc w:val="center"/>
              <w:rPr>
                <w:rFonts w:ascii="Times New Roman" w:eastAsia="Times New Roman" w:hAnsi="Times New Roman" w:cs="Times New Roman"/>
                <w:sz w:val="24"/>
                <w:szCs w:val="24"/>
              </w:rPr>
            </w:pPr>
          </w:p>
        </w:tc>
      </w:tr>
    </w:tbl>
    <w:p w14:paraId="216E58E5" w14:textId="77777777" w:rsidR="007C1DE3" w:rsidRDefault="007C1DE3">
      <w:pPr>
        <w:spacing w:after="0" w:line="240" w:lineRule="auto"/>
        <w:rPr>
          <w:rFonts w:ascii="Times New Roman" w:eastAsia="Times New Roman" w:hAnsi="Times New Roman" w:cs="Times New Roman"/>
          <w:sz w:val="24"/>
          <w:szCs w:val="24"/>
        </w:rPr>
      </w:pPr>
    </w:p>
    <w:p w14:paraId="21552069" w14:textId="3441571A" w:rsidR="007C1DE3" w:rsidRDefault="004077A7">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ABSTRACT</w:t>
      </w:r>
    </w:p>
    <w:p w14:paraId="62B8A98C" w14:textId="6F0D6E10" w:rsidR="007B65C1" w:rsidRDefault="00A00414" w:rsidP="00A00414">
      <w:pPr>
        <w:spacing w:after="0" w:line="240" w:lineRule="auto"/>
        <w:jc w:val="both"/>
        <w:rPr>
          <w:rFonts w:ascii="Times New Roman" w:eastAsia="Times New Roman" w:hAnsi="Times New Roman" w:cs="Times New Roman"/>
          <w:lang w:val="en-ID"/>
        </w:rPr>
      </w:pPr>
      <w:r w:rsidRPr="00A00414">
        <w:rPr>
          <w:rFonts w:ascii="Times New Roman" w:eastAsia="Times New Roman" w:hAnsi="Times New Roman" w:cs="Times New Roman"/>
          <w:lang w:val="en-ID"/>
        </w:rPr>
        <w:t xml:space="preserve">Blood donation is a humanitarian activity where someone donates blood voluntarily. Blood Donation Units are required to provide safe and quality blood products to avoid transfusion reactions. One effort that can be made is to carry out pre-transfusion examinations on donor blood, one of which is an antibody screening examination. The aim of the antibody screening examination is to detect the presence or absence of clinically significant irregular antibodies in both the patient and donor. The aim of this study was to determine the blood type, gender and age of antibody screening in voluntary blood donors at the Blood Donation Unit. This type of research is descriptive using observational methods which was carried out in March 2023 at the </w:t>
      </w:r>
      <w:proofErr w:type="spellStart"/>
      <w:r w:rsidRPr="00A00414">
        <w:rPr>
          <w:rFonts w:ascii="Times New Roman" w:eastAsia="Times New Roman" w:hAnsi="Times New Roman" w:cs="Times New Roman"/>
          <w:lang w:val="en-ID"/>
        </w:rPr>
        <w:t>Banyumas</w:t>
      </w:r>
      <w:proofErr w:type="spellEnd"/>
      <w:r w:rsidRPr="00A00414">
        <w:rPr>
          <w:rFonts w:ascii="Times New Roman" w:eastAsia="Times New Roman" w:hAnsi="Times New Roman" w:cs="Times New Roman"/>
          <w:lang w:val="en-ID"/>
        </w:rPr>
        <w:t xml:space="preserve"> Regency Blood Donation Unit. Samples were taken using a total sampling technique, namely all voluntary blood donors who underwent an antibody screening test. Data collection was carried out using the </w:t>
      </w:r>
      <w:proofErr w:type="spellStart"/>
      <w:r w:rsidRPr="00A00414">
        <w:rPr>
          <w:rFonts w:ascii="Times New Roman" w:eastAsia="Times New Roman" w:hAnsi="Times New Roman" w:cs="Times New Roman"/>
          <w:lang w:val="en-ID"/>
        </w:rPr>
        <w:t>qwalist</w:t>
      </w:r>
      <w:proofErr w:type="spellEnd"/>
      <w:r w:rsidRPr="00A00414">
        <w:rPr>
          <w:rFonts w:ascii="Times New Roman" w:eastAsia="Times New Roman" w:hAnsi="Times New Roman" w:cs="Times New Roman"/>
          <w:lang w:val="en-ID"/>
        </w:rPr>
        <w:t xml:space="preserve"> </w:t>
      </w:r>
      <w:proofErr w:type="spellStart"/>
      <w:r w:rsidRPr="00A00414">
        <w:rPr>
          <w:rFonts w:ascii="Times New Roman" w:eastAsia="Times New Roman" w:hAnsi="Times New Roman" w:cs="Times New Roman"/>
          <w:lang w:val="en-ID"/>
        </w:rPr>
        <w:t>diagast</w:t>
      </w:r>
      <w:proofErr w:type="spellEnd"/>
      <w:r w:rsidRPr="00A00414">
        <w:rPr>
          <w:rFonts w:ascii="Times New Roman" w:eastAsia="Times New Roman" w:hAnsi="Times New Roman" w:cs="Times New Roman"/>
          <w:lang w:val="en-ID"/>
        </w:rPr>
        <w:t xml:space="preserve"> tool and laboratory archives which were accessed via the SIMDONDAR system. The results of the antibody screening research from a total of 3198 voluntary blood donors showed that the highest results were in blood type O, namely 1236 (39%) donors, in men, namely 2196 (69%), and in the elderly (26</w:t>
      </w:r>
      <w:proofErr w:type="gramStart"/>
      <w:r w:rsidRPr="00A00414">
        <w:rPr>
          <w:rFonts w:ascii="Times New Roman" w:eastAsia="Times New Roman" w:hAnsi="Times New Roman" w:cs="Times New Roman"/>
          <w:lang w:val="en-ID"/>
        </w:rPr>
        <w:t>).-</w:t>
      </w:r>
      <w:proofErr w:type="gramEnd"/>
      <w:r w:rsidRPr="00A00414">
        <w:rPr>
          <w:rFonts w:ascii="Times New Roman" w:eastAsia="Times New Roman" w:hAnsi="Times New Roman" w:cs="Times New Roman"/>
          <w:lang w:val="en-ID"/>
        </w:rPr>
        <w:t>60 years).namely 1531 (48%) donors</w:t>
      </w:r>
    </w:p>
    <w:p w14:paraId="7B2C059E" w14:textId="77777777" w:rsidR="00A00414" w:rsidRPr="00DD42A3" w:rsidRDefault="00A00414" w:rsidP="00A00414">
      <w:pPr>
        <w:spacing w:after="0" w:line="240" w:lineRule="auto"/>
        <w:jc w:val="both"/>
        <w:rPr>
          <w:rFonts w:ascii="Times New Roman" w:eastAsia="Times New Roman" w:hAnsi="Times New Roman" w:cs="Times New Roman"/>
          <w:lang w:val="en-ID"/>
        </w:rPr>
      </w:pPr>
    </w:p>
    <w:p w14:paraId="750C81C9" w14:textId="77777777" w:rsidR="00A00414" w:rsidRDefault="004077A7" w:rsidP="00A00414">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Keywords</w:t>
      </w:r>
      <w:r>
        <w:rPr>
          <w:rFonts w:ascii="Times New Roman" w:eastAsia="Times New Roman" w:hAnsi="Times New Roman" w:cs="Times New Roman"/>
          <w:color w:val="000000"/>
          <w:sz w:val="20"/>
          <w:szCs w:val="20"/>
        </w:rPr>
        <w:t xml:space="preserve">: </w:t>
      </w:r>
      <w:proofErr w:type="spellStart"/>
      <w:proofErr w:type="gramStart"/>
      <w:r w:rsidR="007B65C1">
        <w:rPr>
          <w:rFonts w:ascii="Times New Roman" w:eastAsia="Times New Roman" w:hAnsi="Times New Roman" w:cs="Times New Roman"/>
          <w:color w:val="000000"/>
          <w:sz w:val="20"/>
          <w:szCs w:val="20"/>
        </w:rPr>
        <w:t>Blood,Donor</w:t>
      </w:r>
      <w:proofErr w:type="gramEnd"/>
      <w:r w:rsidR="007B65C1">
        <w:rPr>
          <w:rFonts w:ascii="Times New Roman" w:eastAsia="Times New Roman" w:hAnsi="Times New Roman" w:cs="Times New Roman"/>
          <w:color w:val="000000"/>
          <w:sz w:val="20"/>
          <w:szCs w:val="20"/>
        </w:rPr>
        <w:t>,Hemoglobin</w:t>
      </w:r>
      <w:proofErr w:type="spellEnd"/>
    </w:p>
    <w:p w14:paraId="305C1DB0" w14:textId="2EC274ED" w:rsidR="007C1DE3" w:rsidRPr="00A00414" w:rsidRDefault="004077A7" w:rsidP="00A00414">
      <w:pPr>
        <w:spacing w:after="0" w:line="240" w:lineRule="auto"/>
        <w:jc w:val="both"/>
        <w:rPr>
          <w:rFonts w:ascii="Times New Roman" w:eastAsia="Times New Roman" w:hAnsi="Times New Roman" w:cs="Times New Roman"/>
          <w:color w:val="000000"/>
          <w:sz w:val="20"/>
          <w:szCs w:val="20"/>
        </w:rPr>
        <w:sectPr w:rsidR="007C1DE3" w:rsidRPr="00A00414" w:rsidSect="00264446">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964" w:footer="1008" w:gutter="0"/>
          <w:pgNumType w:start="119"/>
          <w:cols w:space="720"/>
          <w:titlePg/>
        </w:sectPr>
      </w:pPr>
      <w:r>
        <w:rPr>
          <w:rFonts w:ascii="Times New Roman" w:eastAsia="Times New Roman" w:hAnsi="Times New Roman" w:cs="Times New Roman"/>
          <w:sz w:val="24"/>
          <w:szCs w:val="24"/>
        </w:rPr>
        <w:br/>
      </w:r>
    </w:p>
    <w:p w14:paraId="6496E0C0" w14:textId="1040CCFC" w:rsidR="007C1DE3" w:rsidRDefault="004077A7" w:rsidP="0052506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rPr>
        <w:t>Introduction</w:t>
      </w:r>
    </w:p>
    <w:p w14:paraId="1EAF944F" w14:textId="0C48F2CA" w:rsidR="00A00414" w:rsidRPr="00A00414" w:rsidRDefault="00A00414" w:rsidP="00A00414">
      <w:pPr>
        <w:autoSpaceDE w:val="0"/>
        <w:autoSpaceDN w:val="0"/>
        <w:adjustRightInd w:val="0"/>
        <w:spacing w:after="0" w:line="240" w:lineRule="auto"/>
        <w:ind w:firstLine="420"/>
        <w:jc w:val="both"/>
        <w:rPr>
          <w:rFonts w:ascii="Times New Roman" w:eastAsia="SimSun" w:hAnsi="Times New Roman" w:cs="Times New Roman"/>
          <w:lang w:eastAsia="zh-CN"/>
        </w:rPr>
      </w:pPr>
      <w:r w:rsidRPr="00A00414">
        <w:rPr>
          <w:rFonts w:ascii="Times New Roman" w:eastAsia="SimSun" w:hAnsi="Times New Roman" w:cs="Times New Roman"/>
          <w:lang w:eastAsia="zh-CN"/>
        </w:rPr>
        <w:t xml:space="preserve">According to the Indonesian Ministry of Health, blood donation is a humanitarian activity where someone donates blood voluntarily and then uses it for blood transfusion needs. Blood and its components are medicinal materials that can save human lives, therefore </w:t>
      </w:r>
      <w:r w:rsidR="00BD6E71">
        <w:rPr>
          <w:rFonts w:ascii="Times New Roman" w:eastAsia="SimSun" w:hAnsi="Times New Roman" w:cs="Times New Roman"/>
          <w:lang w:eastAsia="zh-CN"/>
        </w:rPr>
        <w:t>Blood Donation Units</w:t>
      </w:r>
      <w:r w:rsidRPr="00A00414">
        <w:rPr>
          <w:rFonts w:ascii="Times New Roman" w:eastAsia="SimSun" w:hAnsi="Times New Roman" w:cs="Times New Roman"/>
          <w:lang w:eastAsia="zh-CN"/>
        </w:rPr>
        <w:t xml:space="preserve"> is obliged to provide quality products to avoid transfusion reactions in patients. To ensure the safety of the blood to be transfused, </w:t>
      </w:r>
      <w:r w:rsidR="00BD6E71">
        <w:rPr>
          <w:rFonts w:ascii="Times New Roman" w:eastAsia="SimSun" w:hAnsi="Times New Roman" w:cs="Times New Roman"/>
          <w:lang w:eastAsia="zh-CN"/>
        </w:rPr>
        <w:t xml:space="preserve">Blood Donation Units </w:t>
      </w:r>
      <w:r w:rsidRPr="00A00414">
        <w:rPr>
          <w:rFonts w:ascii="Times New Roman" w:eastAsia="SimSun" w:hAnsi="Times New Roman" w:cs="Times New Roman"/>
          <w:lang w:eastAsia="zh-CN"/>
        </w:rPr>
        <w:t>carries out pre-transfusion checks before the blood is given to the patient.</w:t>
      </w:r>
    </w:p>
    <w:p w14:paraId="3726A4F5" w14:textId="7FFEAAA1" w:rsidR="00A00414" w:rsidRDefault="00A00414" w:rsidP="00B81E23">
      <w:pPr>
        <w:spacing w:after="0" w:line="240" w:lineRule="auto"/>
        <w:ind w:firstLine="720"/>
        <w:jc w:val="both"/>
        <w:rPr>
          <w:rFonts w:ascii="Times New Roman" w:eastAsia="SimSun" w:hAnsi="Times New Roman" w:cs="Times New Roman"/>
          <w:lang w:eastAsia="zh-CN"/>
        </w:rPr>
      </w:pPr>
      <w:r w:rsidRPr="00A00414">
        <w:rPr>
          <w:rFonts w:ascii="Times New Roman" w:eastAsia="SimSun" w:hAnsi="Times New Roman" w:cs="Times New Roman"/>
          <w:lang w:eastAsia="zh-CN"/>
        </w:rPr>
        <w:t xml:space="preserve">Pre-transfusion examination is a series of examination procedures carried out before blood </w:t>
      </w:r>
      <w:r w:rsidRPr="00A00414">
        <w:rPr>
          <w:rFonts w:ascii="Times New Roman" w:eastAsia="SimSun" w:hAnsi="Times New Roman" w:cs="Times New Roman"/>
          <w:lang w:eastAsia="zh-CN"/>
        </w:rPr>
        <w:t>is given to the patient. Pre-transfusion examination includes ABO blood group examination, antibody screening examination, and cross-matching examination [1]. Antibody screening examination is an examination to detect irregular antibodies that have clinical significance in both donor and patient samples. The antibodies detected in this examination are anti-Rh, anti-Kell, anti-Kidd, anti-Duffy, anti-MNs, and anti-Lewis. Antibody screening examination is an effort to reduce the occurrence of hemolytic transfusion reactions and help reduce the risk of babies being born with HDN</w:t>
      </w:r>
      <w:r>
        <w:rPr>
          <w:rFonts w:ascii="Times New Roman" w:eastAsia="SimSun" w:hAnsi="Times New Roman" w:cs="Times New Roman"/>
          <w:lang w:eastAsia="zh-CN"/>
        </w:rPr>
        <w:t xml:space="preserve"> (</w:t>
      </w:r>
      <w:r w:rsidR="00AD52B9">
        <w:rPr>
          <w:rFonts w:ascii="Times New Roman" w:eastAsia="SimSun" w:hAnsi="Times New Roman" w:cs="Times New Roman"/>
          <w:lang w:eastAsia="zh-CN"/>
        </w:rPr>
        <w:t>Trudell 2014).</w:t>
      </w:r>
    </w:p>
    <w:p w14:paraId="67E4E982" w14:textId="2D6B6407" w:rsidR="00AD52B9" w:rsidRDefault="00AD52B9" w:rsidP="00B81E23">
      <w:pPr>
        <w:spacing w:after="0" w:line="240" w:lineRule="auto"/>
        <w:ind w:firstLine="720"/>
        <w:jc w:val="both"/>
        <w:rPr>
          <w:rFonts w:ascii="Times New Roman" w:eastAsia="SimSun" w:hAnsi="Times New Roman" w:cs="Times New Roman"/>
          <w:lang w:eastAsia="zh-CN"/>
        </w:rPr>
      </w:pPr>
      <w:r w:rsidRPr="00AD52B9">
        <w:rPr>
          <w:rFonts w:ascii="Times New Roman" w:eastAsia="SimSun" w:hAnsi="Times New Roman" w:cs="Times New Roman"/>
          <w:lang w:eastAsia="zh-CN"/>
        </w:rPr>
        <w:lastRenderedPageBreak/>
        <w:t xml:space="preserve">According to </w:t>
      </w:r>
      <w:proofErr w:type="spellStart"/>
      <w:r w:rsidRPr="00AD52B9">
        <w:rPr>
          <w:rFonts w:ascii="Times New Roman" w:eastAsia="SimSun" w:hAnsi="Times New Roman" w:cs="Times New Roman"/>
          <w:lang w:eastAsia="zh-CN"/>
        </w:rPr>
        <w:t>Nuraini</w:t>
      </w:r>
      <w:proofErr w:type="spellEnd"/>
      <w:r w:rsidRPr="00AD52B9">
        <w:rPr>
          <w:rFonts w:ascii="Times New Roman" w:eastAsia="SimSun" w:hAnsi="Times New Roman" w:cs="Times New Roman"/>
          <w:lang w:eastAsia="zh-CN"/>
        </w:rPr>
        <w:t xml:space="preserve"> (2020), from 489 samples from voluntary blood donors at </w:t>
      </w:r>
      <w:r w:rsidR="00BD6E71">
        <w:rPr>
          <w:rFonts w:ascii="Times New Roman" w:eastAsia="SimSun" w:hAnsi="Times New Roman" w:cs="Times New Roman"/>
          <w:lang w:eastAsia="zh-CN"/>
        </w:rPr>
        <w:t xml:space="preserve">Blood Donation Units </w:t>
      </w:r>
      <w:r w:rsidRPr="00AD52B9">
        <w:rPr>
          <w:rFonts w:ascii="Times New Roman" w:eastAsia="SimSun" w:hAnsi="Times New Roman" w:cs="Times New Roman"/>
          <w:lang w:eastAsia="zh-CN"/>
        </w:rPr>
        <w:t xml:space="preserve">Palembang City in 2020, negative results were obtained with a percentage of 99.4% and positive results were 0.6%. All positive results were found in male donors with the highest age being in the young adult category (17-25 years) at 1.2% and the most in donors with blood type A, namely 0.8% [3]. According to </w:t>
      </w:r>
      <w:proofErr w:type="spellStart"/>
      <w:r w:rsidRPr="00AD52B9">
        <w:rPr>
          <w:rFonts w:ascii="Times New Roman" w:eastAsia="SimSun" w:hAnsi="Times New Roman" w:cs="Times New Roman"/>
          <w:lang w:eastAsia="zh-CN"/>
        </w:rPr>
        <w:t>Perwitasari</w:t>
      </w:r>
      <w:proofErr w:type="spellEnd"/>
      <w:r w:rsidRPr="00AD52B9">
        <w:rPr>
          <w:rFonts w:ascii="Times New Roman" w:eastAsia="SimSun" w:hAnsi="Times New Roman" w:cs="Times New Roman"/>
          <w:lang w:eastAsia="zh-CN"/>
        </w:rPr>
        <w:t xml:space="preserve"> (2017) at RSUP Dr. Hasan </w:t>
      </w:r>
      <w:proofErr w:type="spellStart"/>
      <w:r w:rsidRPr="00AD52B9">
        <w:rPr>
          <w:rFonts w:ascii="Times New Roman" w:eastAsia="SimSun" w:hAnsi="Times New Roman" w:cs="Times New Roman"/>
          <w:lang w:eastAsia="zh-CN"/>
        </w:rPr>
        <w:t>Sadikin</w:t>
      </w:r>
      <w:proofErr w:type="spellEnd"/>
      <w:r w:rsidRPr="00AD52B9">
        <w:rPr>
          <w:rFonts w:ascii="Times New Roman" w:eastAsia="SimSun" w:hAnsi="Times New Roman" w:cs="Times New Roman"/>
          <w:lang w:eastAsia="zh-CN"/>
        </w:rPr>
        <w:t xml:space="preserve"> Bandung found positive alloantibodies in 1.1% (2 of 183) samples which could interfere with pre-transfusion examination and could cause a transfusion reaction [4]. According to </w:t>
      </w:r>
      <w:proofErr w:type="spellStart"/>
      <w:r w:rsidRPr="00AD52B9">
        <w:rPr>
          <w:rFonts w:ascii="Times New Roman" w:eastAsia="SimSun" w:hAnsi="Times New Roman" w:cs="Times New Roman"/>
          <w:lang w:eastAsia="zh-CN"/>
        </w:rPr>
        <w:t>Ningrum</w:t>
      </w:r>
      <w:proofErr w:type="spellEnd"/>
      <w:r w:rsidRPr="00AD52B9">
        <w:rPr>
          <w:rFonts w:ascii="Times New Roman" w:eastAsia="SimSun" w:hAnsi="Times New Roman" w:cs="Times New Roman"/>
          <w:lang w:eastAsia="zh-CN"/>
        </w:rPr>
        <w:t xml:space="preserve"> et al (2018), of the 70 samples with positive results at the UTD PMI DKI Jakarta reference laboratory, 48% of them found Anti-E most often because the patients often had blood transfusions [5]. Based on this, it proves that screening for antibodies in donor blood is important to maintain and improve blood safety and as an effort to determine early whether there are antibodies in the plasma and prevent transfusion reactions</w:t>
      </w:r>
      <w:r>
        <w:rPr>
          <w:rFonts w:ascii="Times New Roman" w:eastAsia="SimSun" w:hAnsi="Times New Roman" w:cs="Times New Roman"/>
          <w:lang w:eastAsia="zh-CN"/>
        </w:rPr>
        <w:t>.</w:t>
      </w:r>
    </w:p>
    <w:p w14:paraId="2D852A48" w14:textId="4834919F" w:rsidR="00525067" w:rsidRPr="00AD52B9" w:rsidRDefault="00AD52B9" w:rsidP="00AD52B9">
      <w:pPr>
        <w:spacing w:line="240" w:lineRule="auto"/>
        <w:ind w:firstLine="720"/>
        <w:contextualSpacing/>
        <w:jc w:val="both"/>
        <w:rPr>
          <w:rFonts w:ascii="Times New Roman" w:eastAsia="SimSun" w:hAnsi="Times New Roman" w:cs="Times New Roman"/>
          <w:lang w:eastAsia="zh-CN"/>
        </w:rPr>
      </w:pPr>
      <w:r w:rsidRPr="00AD52B9">
        <w:rPr>
          <w:rFonts w:ascii="Times New Roman" w:eastAsia="SimSun" w:hAnsi="Times New Roman" w:cs="Times New Roman"/>
          <w:lang w:eastAsia="zh-CN"/>
        </w:rPr>
        <w:t xml:space="preserve">According to the Central PMI UDD, there are still few PMI UDDs that carry out antibody screening tests due to limited panel cells. UDD PMI </w:t>
      </w:r>
      <w:proofErr w:type="spellStart"/>
      <w:r w:rsidRPr="00AD52B9">
        <w:rPr>
          <w:rFonts w:ascii="Times New Roman" w:eastAsia="SimSun" w:hAnsi="Times New Roman" w:cs="Times New Roman"/>
          <w:lang w:eastAsia="zh-CN"/>
        </w:rPr>
        <w:t>Banyumas</w:t>
      </w:r>
      <w:proofErr w:type="spellEnd"/>
      <w:r w:rsidRPr="00AD52B9">
        <w:rPr>
          <w:rFonts w:ascii="Times New Roman" w:eastAsia="SimSun" w:hAnsi="Times New Roman" w:cs="Times New Roman"/>
          <w:lang w:eastAsia="zh-CN"/>
        </w:rPr>
        <w:t xml:space="preserve"> Regency carries out antibody screening on patients and donors to detect the presence or absence of irregular antibodies. Therefore, the author decided to compile research with the title "Antibody Screening Examination of Voluntary Blood Donors at UDD PMI </w:t>
      </w:r>
      <w:proofErr w:type="spellStart"/>
      <w:r w:rsidRPr="00AD52B9">
        <w:rPr>
          <w:rFonts w:ascii="Times New Roman" w:eastAsia="SimSun" w:hAnsi="Times New Roman" w:cs="Times New Roman"/>
          <w:lang w:eastAsia="zh-CN"/>
        </w:rPr>
        <w:t>Banyumas</w:t>
      </w:r>
      <w:proofErr w:type="spellEnd"/>
      <w:r w:rsidRPr="00AD52B9">
        <w:rPr>
          <w:rFonts w:ascii="Times New Roman" w:eastAsia="SimSun" w:hAnsi="Times New Roman" w:cs="Times New Roman"/>
          <w:lang w:eastAsia="zh-CN"/>
        </w:rPr>
        <w:t xml:space="preserve"> Regency in 2023".</w:t>
      </w:r>
    </w:p>
    <w:p w14:paraId="29771D67" w14:textId="35EDA583" w:rsidR="007C1DE3" w:rsidRDefault="004077A7" w:rsidP="0052506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rPr>
        <w:t>Methods</w:t>
      </w:r>
    </w:p>
    <w:p w14:paraId="4969E7EB" w14:textId="23C36EE9" w:rsidR="007C1DE3" w:rsidRDefault="00AD52B9" w:rsidP="00AD52B9">
      <w:pPr>
        <w:spacing w:after="0" w:line="240" w:lineRule="auto"/>
        <w:ind w:firstLine="720"/>
        <w:jc w:val="both"/>
        <w:rPr>
          <w:rFonts w:ascii="Times New Roman" w:eastAsia="Times New Roman" w:hAnsi="Times New Roman" w:cs="Times New Roman"/>
          <w:sz w:val="24"/>
          <w:szCs w:val="24"/>
        </w:rPr>
      </w:pPr>
      <w:r w:rsidRPr="00AD52B9">
        <w:rPr>
          <w:rFonts w:ascii="Times New Roman" w:eastAsia="Times New Roman" w:hAnsi="Times New Roman" w:cs="Times New Roman"/>
          <w:sz w:val="24"/>
          <w:szCs w:val="24"/>
        </w:rPr>
        <w:t xml:space="preserve">This research is descriptive in nature using observational methods by collecting data, processing data, and describing blood type, gender, and age based on antibody screening examinations on voluntary blood donors at the PMI Blood Donation Unit, </w:t>
      </w:r>
      <w:proofErr w:type="spellStart"/>
      <w:r w:rsidRPr="00AD52B9">
        <w:rPr>
          <w:rFonts w:ascii="Times New Roman" w:eastAsia="Times New Roman" w:hAnsi="Times New Roman" w:cs="Times New Roman"/>
          <w:sz w:val="24"/>
          <w:szCs w:val="24"/>
        </w:rPr>
        <w:t>Banyumas</w:t>
      </w:r>
      <w:proofErr w:type="spellEnd"/>
      <w:r w:rsidRPr="00AD52B9">
        <w:rPr>
          <w:rFonts w:ascii="Times New Roman" w:eastAsia="Times New Roman" w:hAnsi="Times New Roman" w:cs="Times New Roman"/>
          <w:sz w:val="24"/>
          <w:szCs w:val="24"/>
        </w:rPr>
        <w:t xml:space="preserve"> Regency in 2023. The samples taken in this study used observational method. Total sampling method, namely all voluntary blood donors who underwent an antibody screening test in March 2023, amounting to 3198 donor samples.</w:t>
      </w:r>
    </w:p>
    <w:p w14:paraId="1B829493" w14:textId="77777777" w:rsidR="00AD52B9" w:rsidRDefault="00AD52B9" w:rsidP="00AD52B9">
      <w:pPr>
        <w:spacing w:after="0" w:line="240" w:lineRule="auto"/>
        <w:ind w:firstLine="720"/>
        <w:jc w:val="both"/>
        <w:rPr>
          <w:rFonts w:ascii="Times New Roman" w:eastAsia="Times New Roman" w:hAnsi="Times New Roman" w:cs="Times New Roman"/>
          <w:sz w:val="24"/>
          <w:szCs w:val="24"/>
        </w:rPr>
      </w:pPr>
    </w:p>
    <w:p w14:paraId="48F3AA1C" w14:textId="17FD0F71" w:rsidR="007C1DE3" w:rsidRDefault="004077A7" w:rsidP="0062353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rPr>
        <w:t>Results and Discussion</w:t>
      </w:r>
    </w:p>
    <w:p w14:paraId="38929612" w14:textId="751E2402" w:rsidR="00AD52B9" w:rsidRDefault="00AD52B9" w:rsidP="00AD52B9">
      <w:pPr>
        <w:spacing w:line="240" w:lineRule="auto"/>
        <w:ind w:firstLine="420"/>
        <w:jc w:val="both"/>
        <w:rPr>
          <w:rFonts w:ascii="Times New Roman" w:eastAsia="SimSun" w:hAnsi="Times New Roman" w:cs="Times New Roman"/>
          <w:lang w:eastAsia="zh-CN"/>
        </w:rPr>
      </w:pPr>
      <w:r w:rsidRPr="00AD52B9">
        <w:rPr>
          <w:rFonts w:ascii="Times New Roman" w:eastAsia="SimSun" w:hAnsi="Times New Roman" w:cs="Times New Roman"/>
          <w:lang w:eastAsia="zh-CN"/>
        </w:rPr>
        <w:t>Based on research carried out on 3198 voluntary blood donors who underwent antibody screening tests, the following results were obtained:</w:t>
      </w:r>
    </w:p>
    <w:p w14:paraId="77F8EE4F" w14:textId="5ABBBCC2" w:rsidR="00620EDB" w:rsidRPr="00A2571E" w:rsidRDefault="00620EDB" w:rsidP="00620EDB">
      <w:pPr>
        <w:spacing w:line="240" w:lineRule="auto"/>
        <w:jc w:val="center"/>
        <w:rPr>
          <w:rFonts w:ascii="Times New Roman" w:hAnsi="Times New Roman"/>
          <w:i/>
          <w:iCs/>
        </w:rPr>
      </w:pPr>
      <w:r w:rsidRPr="00A2571E">
        <w:rPr>
          <w:rFonts w:ascii="Times New Roman" w:hAnsi="Times New Roman"/>
          <w:i/>
          <w:iCs/>
        </w:rPr>
        <w:t xml:space="preserve">Diagram 1: Blood type based on antibody screening examination of voluntary blood donors at </w:t>
      </w:r>
      <w:r w:rsidR="00BD6E71">
        <w:rPr>
          <w:rFonts w:ascii="Times New Roman" w:hAnsi="Times New Roman"/>
          <w:i/>
          <w:iCs/>
        </w:rPr>
        <w:t xml:space="preserve">Blood Donation </w:t>
      </w:r>
      <w:proofErr w:type="gramStart"/>
      <w:r w:rsidR="00BD6E71">
        <w:rPr>
          <w:rFonts w:ascii="Times New Roman" w:hAnsi="Times New Roman"/>
          <w:i/>
          <w:iCs/>
        </w:rPr>
        <w:t xml:space="preserve">Units </w:t>
      </w:r>
      <w:r w:rsidRPr="00A2571E">
        <w:rPr>
          <w:rFonts w:ascii="Times New Roman" w:hAnsi="Times New Roman"/>
          <w:i/>
          <w:iCs/>
        </w:rPr>
        <w:t xml:space="preserve"> </w:t>
      </w:r>
      <w:proofErr w:type="spellStart"/>
      <w:r w:rsidRPr="00A2571E">
        <w:rPr>
          <w:rFonts w:ascii="Times New Roman" w:hAnsi="Times New Roman"/>
          <w:i/>
          <w:iCs/>
        </w:rPr>
        <w:t>Banyumas</w:t>
      </w:r>
      <w:proofErr w:type="spellEnd"/>
      <w:proofErr w:type="gramEnd"/>
      <w:r w:rsidRPr="00A2571E">
        <w:rPr>
          <w:rFonts w:ascii="Times New Roman" w:hAnsi="Times New Roman"/>
          <w:i/>
          <w:iCs/>
        </w:rPr>
        <w:t xml:space="preserve"> Regency in 2023</w:t>
      </w:r>
    </w:p>
    <w:p w14:paraId="20585671" w14:textId="1D6F1AE5" w:rsidR="00620EDB" w:rsidRPr="00AD52B9" w:rsidRDefault="00BD6E71" w:rsidP="00AD52B9">
      <w:pPr>
        <w:spacing w:line="240" w:lineRule="auto"/>
        <w:ind w:firstLine="420"/>
        <w:jc w:val="both"/>
        <w:rPr>
          <w:rFonts w:ascii="Times New Roman" w:eastAsia="SimSun" w:hAnsi="Times New Roman" w:cs="Times New Roman"/>
          <w:lang w:eastAsia="zh-CN"/>
        </w:rPr>
      </w:pPr>
      <w:r w:rsidRPr="00A2571E">
        <w:rPr>
          <w:rFonts w:ascii="Times New Roman" w:hAnsi="Times New Roman"/>
          <w:noProof/>
        </w:rPr>
        <w:drawing>
          <wp:inline distT="0" distB="0" distL="0" distR="0" wp14:anchorId="4A678A73" wp14:editId="4AC2B1A7">
            <wp:extent cx="2419350" cy="1654810"/>
            <wp:effectExtent l="0" t="0" r="0" b="2540"/>
            <wp:docPr id="93538330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A9402E3" w14:textId="03B06BDE" w:rsidR="00AD52B9" w:rsidRDefault="00BD6E71" w:rsidP="00BD6E71">
      <w:pPr>
        <w:spacing w:line="240" w:lineRule="auto"/>
        <w:ind w:firstLine="420"/>
        <w:jc w:val="both"/>
        <w:rPr>
          <w:rFonts w:ascii="Times New Roman" w:eastAsia="SimSun" w:hAnsi="Times New Roman" w:cs="Times New Roman"/>
          <w:lang w:eastAsia="zh-CN"/>
        </w:rPr>
      </w:pPr>
      <w:r w:rsidRPr="00BD6E71">
        <w:rPr>
          <w:rFonts w:ascii="Times New Roman" w:eastAsia="SimSun" w:hAnsi="Times New Roman" w:cs="Times New Roman"/>
          <w:lang w:eastAsia="zh-CN"/>
        </w:rPr>
        <w:t xml:space="preserve">Blood type examination is an examination carried out to determine the blood type of voluntary blood donors. Based on diagram 1, blood groups based on antibody screening examinations in voluntary blood donors at </w:t>
      </w:r>
      <w:r>
        <w:rPr>
          <w:rFonts w:ascii="Times New Roman" w:eastAsia="SimSun" w:hAnsi="Times New Roman" w:cs="Times New Roman"/>
          <w:lang w:eastAsia="zh-CN"/>
        </w:rPr>
        <w:t xml:space="preserve">Blood Donation Units </w:t>
      </w:r>
      <w:proofErr w:type="spellStart"/>
      <w:r w:rsidRPr="00BD6E71">
        <w:rPr>
          <w:rFonts w:ascii="Times New Roman" w:eastAsia="SimSun" w:hAnsi="Times New Roman" w:cs="Times New Roman"/>
          <w:lang w:eastAsia="zh-CN"/>
        </w:rPr>
        <w:t>Banyumas</w:t>
      </w:r>
      <w:proofErr w:type="spellEnd"/>
      <w:r w:rsidRPr="00BD6E71">
        <w:rPr>
          <w:rFonts w:ascii="Times New Roman" w:eastAsia="SimSun" w:hAnsi="Times New Roman" w:cs="Times New Roman"/>
          <w:lang w:eastAsia="zh-CN"/>
        </w:rPr>
        <w:t xml:space="preserve"> Regency in 2023 were mostly found in voluntary blood donors with blood type O, namely 1236 (39%) donors</w:t>
      </w:r>
    </w:p>
    <w:p w14:paraId="2226D421" w14:textId="05634C71" w:rsidR="007B61C0" w:rsidRDefault="007B61C0" w:rsidP="00BD6E71">
      <w:pPr>
        <w:spacing w:line="240" w:lineRule="auto"/>
        <w:ind w:firstLine="420"/>
        <w:jc w:val="both"/>
        <w:rPr>
          <w:rFonts w:ascii="Times New Roman" w:hAnsi="Times New Roman"/>
        </w:rPr>
      </w:pPr>
      <w:r w:rsidRPr="007B61C0">
        <w:rPr>
          <w:rFonts w:ascii="Times New Roman" w:hAnsi="Times New Roman"/>
        </w:rPr>
        <w:t xml:space="preserve">These results are in line with research by Amalia, et al (2021) conducted at UTD RSUP Dr. Mohammad </w:t>
      </w:r>
      <w:proofErr w:type="spellStart"/>
      <w:r w:rsidRPr="007B61C0">
        <w:rPr>
          <w:rFonts w:ascii="Times New Roman" w:hAnsi="Times New Roman"/>
        </w:rPr>
        <w:t>Hosein</w:t>
      </w:r>
      <w:proofErr w:type="spellEnd"/>
      <w:r w:rsidRPr="007B61C0">
        <w:rPr>
          <w:rFonts w:ascii="Times New Roman" w:hAnsi="Times New Roman"/>
        </w:rPr>
        <w:t xml:space="preserve"> Palembang where it was stated that from 45 samples the highest results were found for blood type O, namely 19 samples (42.3%) [6]. Likewise, in </w:t>
      </w:r>
      <w:proofErr w:type="spellStart"/>
      <w:r w:rsidRPr="007B61C0">
        <w:rPr>
          <w:rFonts w:ascii="Times New Roman" w:hAnsi="Times New Roman"/>
        </w:rPr>
        <w:t>Pessoni</w:t>
      </w:r>
      <w:proofErr w:type="spellEnd"/>
      <w:r w:rsidRPr="007B61C0">
        <w:rPr>
          <w:rFonts w:ascii="Times New Roman" w:hAnsi="Times New Roman"/>
        </w:rPr>
        <w:t xml:space="preserve">, et </w:t>
      </w:r>
      <w:proofErr w:type="spellStart"/>
      <w:r w:rsidRPr="007B61C0">
        <w:rPr>
          <w:rFonts w:ascii="Times New Roman" w:hAnsi="Times New Roman"/>
        </w:rPr>
        <w:t>al's</w:t>
      </w:r>
      <w:proofErr w:type="spellEnd"/>
      <w:r w:rsidRPr="007B61C0">
        <w:rPr>
          <w:rFonts w:ascii="Times New Roman" w:hAnsi="Times New Roman"/>
        </w:rPr>
        <w:t xml:space="preserve"> (2018) research conducted on positive samples for antibody screening at the Hospital das </w:t>
      </w:r>
      <w:proofErr w:type="spellStart"/>
      <w:r w:rsidRPr="007B61C0">
        <w:rPr>
          <w:rFonts w:ascii="Times New Roman" w:hAnsi="Times New Roman"/>
        </w:rPr>
        <w:t>Clinicas</w:t>
      </w:r>
      <w:proofErr w:type="spellEnd"/>
      <w:r w:rsidRPr="007B61C0">
        <w:rPr>
          <w:rFonts w:ascii="Times New Roman" w:hAnsi="Times New Roman"/>
        </w:rPr>
        <w:t xml:space="preserve"> and </w:t>
      </w:r>
      <w:proofErr w:type="spellStart"/>
      <w:r w:rsidRPr="007B61C0">
        <w:rPr>
          <w:rFonts w:ascii="Times New Roman" w:hAnsi="Times New Roman"/>
        </w:rPr>
        <w:t>Universidade</w:t>
      </w:r>
      <w:proofErr w:type="spellEnd"/>
      <w:r w:rsidRPr="007B61C0">
        <w:rPr>
          <w:rFonts w:ascii="Times New Roman" w:hAnsi="Times New Roman"/>
        </w:rPr>
        <w:t xml:space="preserve"> Federal de </w:t>
      </w:r>
      <w:proofErr w:type="spellStart"/>
      <w:r w:rsidRPr="007B61C0">
        <w:rPr>
          <w:rFonts w:ascii="Times New Roman" w:hAnsi="Times New Roman"/>
        </w:rPr>
        <w:t>Goiaz</w:t>
      </w:r>
      <w:proofErr w:type="spellEnd"/>
      <w:r w:rsidRPr="007B61C0">
        <w:rPr>
          <w:rFonts w:ascii="Times New Roman" w:hAnsi="Times New Roman"/>
        </w:rPr>
        <w:t>, Brazil, the highest results were found in blood type O, namely 14 samples (50%) out of 28 samples</w:t>
      </w:r>
      <w:r>
        <w:rPr>
          <w:rFonts w:ascii="Times New Roman" w:hAnsi="Times New Roman"/>
        </w:rPr>
        <w:t xml:space="preserve"> (Pessoni,2018)</w:t>
      </w:r>
    </w:p>
    <w:p w14:paraId="4D784BDD" w14:textId="12836E47" w:rsidR="007B61C0" w:rsidRDefault="007B61C0" w:rsidP="00BD6E71">
      <w:pPr>
        <w:spacing w:line="240" w:lineRule="auto"/>
        <w:ind w:firstLine="420"/>
        <w:jc w:val="both"/>
        <w:rPr>
          <w:rFonts w:ascii="Times New Roman" w:hAnsi="Times New Roman"/>
        </w:rPr>
      </w:pPr>
      <w:r w:rsidRPr="007B61C0">
        <w:rPr>
          <w:rFonts w:ascii="Times New Roman" w:hAnsi="Times New Roman"/>
        </w:rPr>
        <w:t xml:space="preserve">These results were influenced by the number of male blood donors at UDD PMI </w:t>
      </w:r>
      <w:proofErr w:type="spellStart"/>
      <w:r w:rsidRPr="007B61C0">
        <w:rPr>
          <w:rFonts w:ascii="Times New Roman" w:hAnsi="Times New Roman"/>
        </w:rPr>
        <w:t>Banyumas</w:t>
      </w:r>
      <w:proofErr w:type="spellEnd"/>
      <w:r w:rsidRPr="007B61C0">
        <w:rPr>
          <w:rFonts w:ascii="Times New Roman" w:hAnsi="Times New Roman"/>
        </w:rPr>
        <w:t xml:space="preserve"> Regency in March 2023, which was more than female blood donors, namely 2984 male donors and 1308 female donors. The frequency of blood donations for male donors is higher than for female donors because the blood donor selection requirements for women are more complex than </w:t>
      </w:r>
      <w:r w:rsidRPr="007B61C0">
        <w:rPr>
          <w:rFonts w:ascii="Times New Roman" w:hAnsi="Times New Roman"/>
        </w:rPr>
        <w:lastRenderedPageBreak/>
        <w:t>for men, such as menstruation, pregnancy and breastfeeding. Menstruation affects hemoglobin levels in the body, women who are menstruating have hemoglobin levels of less than 12 g/dl due to loss of iron stores in the body [9]. This is in accordance with the donor selection requirements according to Minister of Health Regulation No. 91 of 2015 which states that the donor hemoglobin level requirement is 12.5-17 g/dl</w:t>
      </w:r>
      <w:r>
        <w:rPr>
          <w:rFonts w:ascii="Times New Roman" w:hAnsi="Times New Roman"/>
        </w:rPr>
        <w:t xml:space="preserve"> (Kemenkes,2015)</w:t>
      </w:r>
    </w:p>
    <w:p w14:paraId="73C6E1FC" w14:textId="77777777" w:rsidR="007B61C0" w:rsidRDefault="007B61C0" w:rsidP="007B61C0">
      <w:pPr>
        <w:spacing w:line="240" w:lineRule="auto"/>
        <w:jc w:val="center"/>
        <w:rPr>
          <w:rFonts w:ascii="Times New Roman" w:eastAsia="SimSun" w:hAnsi="Times New Roman" w:cs="Times New Roman"/>
          <w:i/>
          <w:iCs/>
          <w:lang w:eastAsia="zh-CN"/>
        </w:rPr>
      </w:pPr>
      <w:r w:rsidRPr="007B61C0">
        <w:rPr>
          <w:rFonts w:ascii="Times New Roman" w:eastAsia="SimSun" w:hAnsi="Times New Roman" w:cs="Times New Roman"/>
          <w:i/>
          <w:iCs/>
          <w:lang w:eastAsia="zh-CN"/>
        </w:rPr>
        <w:t xml:space="preserve">Diagram 3: Age based on antibody screening examination of voluntary blood donors at UDD PMI </w:t>
      </w:r>
      <w:proofErr w:type="spellStart"/>
      <w:r w:rsidRPr="007B61C0">
        <w:rPr>
          <w:rFonts w:ascii="Times New Roman" w:eastAsia="SimSun" w:hAnsi="Times New Roman" w:cs="Times New Roman"/>
          <w:i/>
          <w:iCs/>
          <w:lang w:eastAsia="zh-CN"/>
        </w:rPr>
        <w:t>Banyumas</w:t>
      </w:r>
      <w:proofErr w:type="spellEnd"/>
      <w:r w:rsidRPr="007B61C0">
        <w:rPr>
          <w:rFonts w:ascii="Times New Roman" w:eastAsia="SimSun" w:hAnsi="Times New Roman" w:cs="Times New Roman"/>
          <w:i/>
          <w:iCs/>
          <w:lang w:eastAsia="zh-CN"/>
        </w:rPr>
        <w:t xml:space="preserve"> Regency in 2023</w:t>
      </w:r>
    </w:p>
    <w:p w14:paraId="572A550F" w14:textId="4A6730C5" w:rsidR="007B61C0" w:rsidRPr="007B61C0" w:rsidRDefault="007B61C0" w:rsidP="007B61C0">
      <w:pPr>
        <w:spacing w:line="240" w:lineRule="auto"/>
        <w:jc w:val="center"/>
        <w:rPr>
          <w:rFonts w:ascii="Times New Roman" w:eastAsia="SimSun" w:hAnsi="Times New Roman" w:cs="Times New Roman"/>
          <w:i/>
          <w:iCs/>
          <w:lang w:eastAsia="zh-CN"/>
        </w:rPr>
      </w:pPr>
      <w:r>
        <w:rPr>
          <w:noProof/>
        </w:rPr>
        <w:drawing>
          <wp:inline distT="0" distB="0" distL="0" distR="0" wp14:anchorId="61A4E60B" wp14:editId="0C349FE0">
            <wp:extent cx="2743200" cy="1786890"/>
            <wp:effectExtent l="0" t="0" r="0" b="381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582BD92" w14:textId="35B1ACCF" w:rsidR="007B61C0" w:rsidRPr="007B61C0" w:rsidRDefault="007B61C0" w:rsidP="007B61C0">
      <w:pPr>
        <w:spacing w:line="240" w:lineRule="auto"/>
        <w:ind w:firstLine="420"/>
        <w:jc w:val="both"/>
        <w:rPr>
          <w:rFonts w:ascii="Times New Roman" w:eastAsia="SimSun" w:hAnsi="Times New Roman" w:cs="Times New Roman"/>
          <w:lang w:eastAsia="zh-CN"/>
        </w:rPr>
      </w:pPr>
      <w:r w:rsidRPr="007B61C0">
        <w:rPr>
          <w:rFonts w:ascii="Times New Roman" w:eastAsia="SimSun" w:hAnsi="Times New Roman" w:cs="Times New Roman"/>
          <w:lang w:eastAsia="zh-CN"/>
        </w:rPr>
        <w:t xml:space="preserve">The Indonesian Ministry of Health, 2011 stated that the productive age in Indonesia is 15-64 years old. This fulfills the donor selection requirements according to the Republic of Indonesia Minister of Health Regulation No. 91 of 2015 which states that the age for blood donors is 17-65 years with certain health considerations </w:t>
      </w:r>
      <w:r>
        <w:rPr>
          <w:rFonts w:ascii="Times New Roman" w:eastAsia="SimSun" w:hAnsi="Times New Roman" w:cs="Times New Roman"/>
          <w:lang w:eastAsia="zh-CN"/>
        </w:rPr>
        <w:t>(</w:t>
      </w:r>
      <w:proofErr w:type="spellStart"/>
      <w:r>
        <w:rPr>
          <w:rFonts w:ascii="Times New Roman" w:eastAsia="SimSun" w:hAnsi="Times New Roman" w:cs="Times New Roman"/>
          <w:lang w:eastAsia="zh-CN"/>
        </w:rPr>
        <w:t>Pessoni</w:t>
      </w:r>
      <w:proofErr w:type="spellEnd"/>
      <w:r>
        <w:rPr>
          <w:rFonts w:ascii="Times New Roman" w:eastAsia="SimSun" w:hAnsi="Times New Roman" w:cs="Times New Roman"/>
          <w:lang w:eastAsia="zh-CN"/>
        </w:rPr>
        <w:t xml:space="preserve"> 2018</w:t>
      </w:r>
      <w:proofErr w:type="gramStart"/>
      <w:r>
        <w:rPr>
          <w:rFonts w:ascii="Times New Roman" w:eastAsia="SimSun" w:hAnsi="Times New Roman" w:cs="Times New Roman"/>
          <w:lang w:eastAsia="zh-CN"/>
        </w:rPr>
        <w:t xml:space="preserve">) </w:t>
      </w:r>
      <w:r w:rsidRPr="007B61C0">
        <w:rPr>
          <w:rFonts w:ascii="Times New Roman" w:eastAsia="SimSun" w:hAnsi="Times New Roman" w:cs="Times New Roman"/>
          <w:lang w:eastAsia="zh-CN"/>
        </w:rPr>
        <w:t>.</w:t>
      </w:r>
      <w:proofErr w:type="gramEnd"/>
      <w:r w:rsidRPr="007B61C0">
        <w:rPr>
          <w:rFonts w:ascii="Times New Roman" w:eastAsia="SimSun" w:hAnsi="Times New Roman" w:cs="Times New Roman"/>
          <w:lang w:eastAsia="zh-CN"/>
        </w:rPr>
        <w:t xml:space="preserve"> Based on the </w:t>
      </w:r>
      <w:proofErr w:type="gramStart"/>
      <w:r w:rsidRPr="007B61C0">
        <w:rPr>
          <w:rFonts w:ascii="Times New Roman" w:eastAsia="SimSun" w:hAnsi="Times New Roman" w:cs="Times New Roman"/>
          <w:lang w:eastAsia="zh-CN"/>
        </w:rPr>
        <w:t>3 age</w:t>
      </w:r>
      <w:proofErr w:type="gramEnd"/>
      <w:r w:rsidRPr="007B61C0">
        <w:rPr>
          <w:rFonts w:ascii="Times New Roman" w:eastAsia="SimSun" w:hAnsi="Times New Roman" w:cs="Times New Roman"/>
          <w:lang w:eastAsia="zh-CN"/>
        </w:rPr>
        <w:t xml:space="preserve"> diagram based on antibody screening examination of voluntary blood donors at </w:t>
      </w:r>
      <w:r>
        <w:rPr>
          <w:rFonts w:ascii="Times New Roman" w:eastAsia="SimSun" w:hAnsi="Times New Roman" w:cs="Times New Roman"/>
          <w:lang w:eastAsia="zh-CN"/>
        </w:rPr>
        <w:t>Blood Unit Donations</w:t>
      </w:r>
      <w:r w:rsidRPr="007B61C0">
        <w:rPr>
          <w:rFonts w:ascii="Times New Roman" w:eastAsia="SimSun" w:hAnsi="Times New Roman" w:cs="Times New Roman"/>
          <w:lang w:eastAsia="zh-CN"/>
        </w:rPr>
        <w:t xml:space="preserve"> </w:t>
      </w:r>
      <w:proofErr w:type="spellStart"/>
      <w:r w:rsidRPr="007B61C0">
        <w:rPr>
          <w:rFonts w:ascii="Times New Roman" w:eastAsia="SimSun" w:hAnsi="Times New Roman" w:cs="Times New Roman"/>
          <w:lang w:eastAsia="zh-CN"/>
        </w:rPr>
        <w:t>Banyumas</w:t>
      </w:r>
      <w:proofErr w:type="spellEnd"/>
      <w:r w:rsidRPr="007B61C0">
        <w:rPr>
          <w:rFonts w:ascii="Times New Roman" w:eastAsia="SimSun" w:hAnsi="Times New Roman" w:cs="Times New Roman"/>
          <w:lang w:eastAsia="zh-CN"/>
        </w:rPr>
        <w:t xml:space="preserve"> Regency in 2023, the majority were found in older adults (26-60 years), namely 1531 (48%) donors.</w:t>
      </w:r>
    </w:p>
    <w:p w14:paraId="7C8F2C29" w14:textId="4CBBCE17" w:rsidR="007B61C0" w:rsidRDefault="007B61C0" w:rsidP="007B61C0">
      <w:pPr>
        <w:spacing w:after="0" w:line="240" w:lineRule="auto"/>
        <w:ind w:firstLine="720"/>
        <w:jc w:val="both"/>
        <w:rPr>
          <w:rFonts w:ascii="Times New Roman" w:hAnsi="Times New Roman"/>
        </w:rPr>
      </w:pPr>
      <w:r w:rsidRPr="007B61C0">
        <w:rPr>
          <w:rFonts w:ascii="Times New Roman" w:hAnsi="Times New Roman"/>
        </w:rPr>
        <w:t xml:space="preserve">The results of this study are in line with research by </w:t>
      </w:r>
      <w:proofErr w:type="spellStart"/>
      <w:r w:rsidRPr="007B61C0">
        <w:rPr>
          <w:rFonts w:ascii="Times New Roman" w:hAnsi="Times New Roman"/>
        </w:rPr>
        <w:t>Pessoni</w:t>
      </w:r>
      <w:proofErr w:type="spellEnd"/>
      <w:r w:rsidRPr="007B61C0">
        <w:rPr>
          <w:rFonts w:ascii="Times New Roman" w:hAnsi="Times New Roman"/>
        </w:rPr>
        <w:t xml:space="preserve">, et al (2018) which stated that 17 of 28 samples (61%) of antibody screening were aged 26-60 years [7]. Likewise in research by </w:t>
      </w:r>
      <w:proofErr w:type="spellStart"/>
      <w:r w:rsidRPr="007B61C0">
        <w:rPr>
          <w:rFonts w:ascii="Times New Roman" w:hAnsi="Times New Roman"/>
        </w:rPr>
        <w:t>Septiana</w:t>
      </w:r>
      <w:proofErr w:type="spellEnd"/>
      <w:r w:rsidRPr="007B61C0">
        <w:rPr>
          <w:rFonts w:ascii="Times New Roman" w:hAnsi="Times New Roman"/>
        </w:rPr>
        <w:t xml:space="preserve">, et al (2021) which states that in UTD PMI </w:t>
      </w:r>
      <w:proofErr w:type="spellStart"/>
      <w:r w:rsidRPr="007B61C0">
        <w:rPr>
          <w:rFonts w:ascii="Times New Roman" w:hAnsi="Times New Roman"/>
        </w:rPr>
        <w:t>Gunungkidul</w:t>
      </w:r>
      <w:proofErr w:type="spellEnd"/>
      <w:r w:rsidRPr="007B61C0">
        <w:rPr>
          <w:rFonts w:ascii="Times New Roman" w:hAnsi="Times New Roman"/>
        </w:rPr>
        <w:t xml:space="preserve"> Regency the number of donors aged 25-44 years was 194 donors (52.6%) and aged 45-64 years was 119 donors (32.3</w:t>
      </w:r>
      <w:proofErr w:type="gramStart"/>
      <w:r w:rsidRPr="007B61C0">
        <w:rPr>
          <w:rFonts w:ascii="Times New Roman" w:hAnsi="Times New Roman"/>
        </w:rPr>
        <w:t>% )</w:t>
      </w:r>
      <w:proofErr w:type="gramEnd"/>
      <w:r w:rsidRPr="007B61C0">
        <w:rPr>
          <w:rFonts w:ascii="Times New Roman" w:hAnsi="Times New Roman"/>
        </w:rPr>
        <w:t xml:space="preserve"> from a total sample of 368 donors</w:t>
      </w:r>
      <w:r>
        <w:rPr>
          <w:rFonts w:ascii="Times New Roman" w:hAnsi="Times New Roman"/>
        </w:rPr>
        <w:t xml:space="preserve"> (</w:t>
      </w:r>
      <w:proofErr w:type="spellStart"/>
      <w:r>
        <w:rPr>
          <w:rFonts w:ascii="Times New Roman" w:hAnsi="Times New Roman"/>
        </w:rPr>
        <w:t>Septiana</w:t>
      </w:r>
      <w:proofErr w:type="spellEnd"/>
      <w:r>
        <w:rPr>
          <w:rFonts w:ascii="Times New Roman" w:hAnsi="Times New Roman"/>
        </w:rPr>
        <w:t xml:space="preserve"> 2021).</w:t>
      </w:r>
    </w:p>
    <w:p w14:paraId="5BDE2C15" w14:textId="412C42D7" w:rsidR="007B61C0" w:rsidRDefault="007B61C0" w:rsidP="007B61C0">
      <w:pPr>
        <w:spacing w:after="0" w:line="240" w:lineRule="auto"/>
        <w:ind w:firstLine="720"/>
        <w:jc w:val="both"/>
        <w:rPr>
          <w:rFonts w:ascii="Times New Roman" w:hAnsi="Times New Roman"/>
        </w:rPr>
      </w:pPr>
      <w:r w:rsidRPr="007B61C0">
        <w:rPr>
          <w:rFonts w:ascii="Times New Roman" w:hAnsi="Times New Roman"/>
        </w:rPr>
        <w:t xml:space="preserve">The results of this research occurred because the largest number of blood donors at </w:t>
      </w:r>
      <w:r w:rsidRPr="007B61C0">
        <w:rPr>
          <w:rFonts w:ascii="Times New Roman" w:hAnsi="Times New Roman"/>
        </w:rPr>
        <w:t xml:space="preserve">UDD PMI </w:t>
      </w:r>
      <w:proofErr w:type="spellStart"/>
      <w:r w:rsidRPr="007B61C0">
        <w:rPr>
          <w:rFonts w:ascii="Times New Roman" w:hAnsi="Times New Roman"/>
        </w:rPr>
        <w:t>Banyumas</w:t>
      </w:r>
      <w:proofErr w:type="spellEnd"/>
      <w:r w:rsidRPr="007B61C0">
        <w:rPr>
          <w:rFonts w:ascii="Times New Roman" w:hAnsi="Times New Roman"/>
        </w:rPr>
        <w:t xml:space="preserve"> Regency in March 2023 were aged 26-60 years, namely 1960 donors. Blood donors are often found in young adults and old adults because the donor's health condition is adequate and there is little resistance to blood donor selection. In old age, the frequency of donors is reduced because it can have an impact on the donor's own health condition, such as increasing the risk of developing cardiovascular and cerebrovascular disease in old age</w:t>
      </w:r>
      <w:r>
        <w:rPr>
          <w:rFonts w:ascii="Times New Roman" w:hAnsi="Times New Roman"/>
        </w:rPr>
        <w:t xml:space="preserve"> (Maria,2016).</w:t>
      </w:r>
    </w:p>
    <w:p w14:paraId="5A0D0ECA" w14:textId="77777777" w:rsidR="007B61C0" w:rsidRPr="007B61C0" w:rsidRDefault="007B61C0" w:rsidP="007B61C0">
      <w:pPr>
        <w:spacing w:after="0" w:line="240" w:lineRule="auto"/>
        <w:ind w:firstLine="720"/>
        <w:jc w:val="both"/>
        <w:rPr>
          <w:rFonts w:ascii="Times New Roman" w:hAnsi="Times New Roman"/>
        </w:rPr>
      </w:pPr>
    </w:p>
    <w:p w14:paraId="5A58722D" w14:textId="0A7D3790" w:rsidR="00F259BA" w:rsidRPr="00DD1919" w:rsidRDefault="00F259BA" w:rsidP="00DD1919">
      <w:pPr>
        <w:spacing w:after="0" w:line="240" w:lineRule="auto"/>
        <w:ind w:firstLine="426"/>
        <w:jc w:val="both"/>
        <w:rPr>
          <w:rFonts w:ascii="Times New Roman" w:eastAsia="Times New Roman" w:hAnsi="Times New Roman" w:cs="Times New Roman"/>
          <w:bCs/>
          <w:color w:val="000000"/>
        </w:rPr>
      </w:pPr>
    </w:p>
    <w:p w14:paraId="0B3D4461" w14:textId="77777777" w:rsidR="00AC5935" w:rsidRDefault="00AC5935">
      <w:pPr>
        <w:spacing w:after="0" w:line="240" w:lineRule="auto"/>
        <w:rPr>
          <w:rFonts w:ascii="Times New Roman" w:eastAsia="Times New Roman" w:hAnsi="Times New Roman" w:cs="Times New Roman"/>
          <w:b/>
          <w:color w:val="000000"/>
        </w:rPr>
      </w:pPr>
    </w:p>
    <w:p w14:paraId="2D1E67F8" w14:textId="37491DCA" w:rsidR="007C1DE3" w:rsidRDefault="004077A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rPr>
        <w:t>Conclusion</w:t>
      </w:r>
    </w:p>
    <w:p w14:paraId="114BEB3B" w14:textId="77777777" w:rsidR="007B61C0" w:rsidRPr="007B61C0" w:rsidRDefault="007B61C0" w:rsidP="007B61C0">
      <w:pPr>
        <w:spacing w:after="0" w:line="240" w:lineRule="auto"/>
        <w:ind w:firstLine="420"/>
        <w:contextualSpacing/>
        <w:jc w:val="both"/>
        <w:rPr>
          <w:rFonts w:ascii="Times New Roman" w:eastAsia="SimSun" w:hAnsi="Times New Roman" w:cs="Times New Roman"/>
          <w:i/>
          <w:iCs/>
          <w:lang w:eastAsia="zh-CN"/>
        </w:rPr>
      </w:pPr>
      <w:r w:rsidRPr="007B61C0">
        <w:rPr>
          <w:rFonts w:ascii="Times New Roman" w:eastAsia="SimSun" w:hAnsi="Times New Roman" w:cs="Times New Roman"/>
          <w:sz w:val="24"/>
          <w:szCs w:val="24"/>
          <w:lang w:eastAsia="zh-CN"/>
        </w:rPr>
        <w:t xml:space="preserve">Based on research results of antibody screening examinations on voluntary blood donors from a total of 3198 donors, the highest results were found in blood group O, namely 1236 (39%) donors, in men, namely 2196 (69%), and in older adults </w:t>
      </w:r>
      <w:proofErr w:type="gramStart"/>
      <w:r w:rsidRPr="007B61C0">
        <w:rPr>
          <w:rFonts w:ascii="Times New Roman" w:eastAsia="SimSun" w:hAnsi="Times New Roman" w:cs="Times New Roman"/>
          <w:sz w:val="24"/>
          <w:szCs w:val="24"/>
          <w:lang w:eastAsia="zh-CN"/>
        </w:rPr>
        <w:t>( 26</w:t>
      </w:r>
      <w:proofErr w:type="gramEnd"/>
      <w:r w:rsidRPr="007B61C0">
        <w:rPr>
          <w:rFonts w:ascii="Times New Roman" w:eastAsia="SimSun" w:hAnsi="Times New Roman" w:cs="Times New Roman"/>
          <w:sz w:val="24"/>
          <w:szCs w:val="24"/>
          <w:lang w:eastAsia="zh-CN"/>
        </w:rPr>
        <w:t>-60 years) namely 1531 (48%) donors.</w:t>
      </w:r>
    </w:p>
    <w:p w14:paraId="5E8984DB" w14:textId="77777777" w:rsidR="006F3A96" w:rsidRPr="00C76186" w:rsidRDefault="006F3A96" w:rsidP="00C76186">
      <w:pPr>
        <w:spacing w:after="0" w:line="240" w:lineRule="auto"/>
        <w:ind w:firstLine="720"/>
        <w:jc w:val="both"/>
        <w:rPr>
          <w:rFonts w:ascii="Times New Roman" w:eastAsia="Times New Roman" w:hAnsi="Times New Roman" w:cs="Times New Roman"/>
        </w:rPr>
      </w:pPr>
    </w:p>
    <w:p w14:paraId="151A22DB" w14:textId="7DBE4866" w:rsidR="002677CB" w:rsidRDefault="004077A7" w:rsidP="00C76186">
      <w:pPr>
        <w:spacing w:after="0" w:line="240" w:lineRule="auto"/>
        <w:rPr>
          <w:rFonts w:ascii="Times New Roman" w:hAnsi="Times New Roman" w:cs="Times New Roman"/>
          <w:noProof/>
          <w:sz w:val="24"/>
        </w:rPr>
      </w:pPr>
      <w:r>
        <w:rPr>
          <w:rFonts w:ascii="Times New Roman" w:eastAsia="Times New Roman" w:hAnsi="Times New Roman" w:cs="Times New Roman"/>
          <w:b/>
          <w:color w:val="000000"/>
        </w:rPr>
        <w:t>References</w:t>
      </w:r>
      <w:r w:rsidR="002677CB" w:rsidRPr="0006708D">
        <w:rPr>
          <w:rFonts w:ascii="Times New Roman" w:hAnsi="Times New Roman" w:cs="Times New Roman"/>
          <w:noProof/>
          <w:sz w:val="24"/>
        </w:rPr>
        <w:t xml:space="preserve"> </w:t>
      </w:r>
    </w:p>
    <w:p w14:paraId="07EC74DB" w14:textId="77777777" w:rsidR="00663594" w:rsidRPr="00C76186" w:rsidRDefault="00663594" w:rsidP="00C76186">
      <w:pPr>
        <w:spacing w:after="0" w:line="240" w:lineRule="auto"/>
        <w:rPr>
          <w:rFonts w:ascii="Times New Roman" w:eastAsia="Times New Roman" w:hAnsi="Times New Roman" w:cs="Times New Roman"/>
          <w:sz w:val="24"/>
          <w:szCs w:val="24"/>
        </w:rPr>
      </w:pPr>
    </w:p>
    <w:p w14:paraId="746FEA63" w14:textId="77777777" w:rsidR="007B61C0" w:rsidRDefault="007B61C0" w:rsidP="007B61C0">
      <w:pPr>
        <w:pStyle w:val="ListParagraph"/>
        <w:numPr>
          <w:ilvl w:val="0"/>
          <w:numId w:val="4"/>
        </w:numPr>
        <w:spacing w:after="0" w:line="240" w:lineRule="auto"/>
        <w:jc w:val="both"/>
        <w:rPr>
          <w:rFonts w:ascii="Times New Roman" w:hAnsi="Times New Roman"/>
        </w:rPr>
      </w:pPr>
      <w:r>
        <w:rPr>
          <w:rFonts w:ascii="Times New Roman" w:hAnsi="Times New Roman"/>
        </w:rPr>
        <w:t>Blaney, K. D., Howard, P. R. (2013). Compatibility Testing. Basic &amp; Applied Concepts of Blood Banking and Transfusion Practices. Third Edition. United States: Elsevier Mosby. p. 188-201</w:t>
      </w:r>
    </w:p>
    <w:p w14:paraId="047FBC39" w14:textId="77777777" w:rsidR="007B61C0" w:rsidRDefault="007B61C0" w:rsidP="007B61C0">
      <w:pPr>
        <w:pStyle w:val="ListParagraph"/>
        <w:numPr>
          <w:ilvl w:val="0"/>
          <w:numId w:val="4"/>
        </w:numPr>
        <w:spacing w:after="0" w:line="240" w:lineRule="auto"/>
        <w:jc w:val="both"/>
        <w:rPr>
          <w:rFonts w:ascii="Times New Roman" w:hAnsi="Times New Roman"/>
        </w:rPr>
      </w:pPr>
      <w:r>
        <w:rPr>
          <w:rFonts w:ascii="Times New Roman" w:hAnsi="Times New Roman"/>
        </w:rPr>
        <w:t xml:space="preserve">Trudell, K.S. (2014). Detection and Identification of Antibodies. In: Harmening, </w:t>
      </w:r>
      <w:proofErr w:type="spellStart"/>
      <w:r>
        <w:rPr>
          <w:rFonts w:ascii="Times New Roman" w:hAnsi="Times New Roman"/>
        </w:rPr>
        <w:t>DMModern</w:t>
      </w:r>
      <w:proofErr w:type="spellEnd"/>
      <w:r>
        <w:rPr>
          <w:rFonts w:ascii="Times New Roman" w:hAnsi="Times New Roman"/>
        </w:rPr>
        <w:t xml:space="preserve"> Blood Banking &amp; Transfusion Practices Sixth Edition. United States of America: F.A. Davis Company. p. 216-240</w:t>
      </w:r>
    </w:p>
    <w:p w14:paraId="33648BAF" w14:textId="77777777" w:rsidR="007B61C0" w:rsidRDefault="007B61C0" w:rsidP="007B61C0">
      <w:pPr>
        <w:pStyle w:val="ListParagraph"/>
        <w:numPr>
          <w:ilvl w:val="0"/>
          <w:numId w:val="4"/>
        </w:numPr>
        <w:spacing w:after="0" w:line="240" w:lineRule="auto"/>
        <w:jc w:val="both"/>
        <w:rPr>
          <w:rFonts w:ascii="Times New Roman" w:hAnsi="Times New Roman"/>
        </w:rPr>
      </w:pPr>
      <w:proofErr w:type="spellStart"/>
      <w:r>
        <w:rPr>
          <w:rFonts w:ascii="Times New Roman" w:hAnsi="Times New Roman"/>
        </w:rPr>
        <w:t>Nuraini</w:t>
      </w:r>
      <w:proofErr w:type="spellEnd"/>
      <w:r>
        <w:rPr>
          <w:rFonts w:ascii="Times New Roman" w:hAnsi="Times New Roman"/>
        </w:rPr>
        <w:t>. (2020). Description of Antibody Screening Results in Voluntary Blood Donors at UTD PMI Palembang City in 2020. Health Analyst Journal. 1(12)</w:t>
      </w:r>
    </w:p>
    <w:p w14:paraId="334F7C29" w14:textId="77777777" w:rsidR="007B61C0" w:rsidRDefault="007B61C0" w:rsidP="007B61C0">
      <w:pPr>
        <w:pStyle w:val="ListParagraph"/>
        <w:numPr>
          <w:ilvl w:val="0"/>
          <w:numId w:val="4"/>
        </w:numPr>
        <w:spacing w:line="276" w:lineRule="auto"/>
        <w:jc w:val="both"/>
        <w:rPr>
          <w:rFonts w:ascii="Times New Roman" w:hAnsi="Times New Roman"/>
        </w:rPr>
      </w:pPr>
      <w:proofErr w:type="spellStart"/>
      <w:r>
        <w:rPr>
          <w:rFonts w:ascii="Times New Roman" w:hAnsi="Times New Roman"/>
        </w:rPr>
        <w:t>Perwitasari</w:t>
      </w:r>
      <w:proofErr w:type="spellEnd"/>
      <w:r>
        <w:rPr>
          <w:rFonts w:ascii="Times New Roman" w:hAnsi="Times New Roman"/>
        </w:rPr>
        <w:t xml:space="preserve">, E., (2017). Description of Alloantibody Screening Results in Transfusion Dependent Thalassemia Patients at RSUP Dr. Hasan </w:t>
      </w:r>
      <w:proofErr w:type="spellStart"/>
      <w:r>
        <w:rPr>
          <w:rFonts w:ascii="Times New Roman" w:hAnsi="Times New Roman"/>
        </w:rPr>
        <w:t>Sadikin</w:t>
      </w:r>
      <w:proofErr w:type="spellEnd"/>
      <w:r>
        <w:rPr>
          <w:rFonts w:ascii="Times New Roman" w:hAnsi="Times New Roman"/>
        </w:rPr>
        <w:t>, Bandung. J Indonesian Med Assoc, 67(10), pp: 584-591.</w:t>
      </w:r>
    </w:p>
    <w:p w14:paraId="0B5B0498" w14:textId="77777777" w:rsidR="007B61C0" w:rsidRDefault="007B61C0" w:rsidP="007B61C0">
      <w:pPr>
        <w:pStyle w:val="ListParagraph"/>
        <w:numPr>
          <w:ilvl w:val="0"/>
          <w:numId w:val="4"/>
        </w:numPr>
        <w:spacing w:line="276" w:lineRule="auto"/>
        <w:jc w:val="both"/>
        <w:rPr>
          <w:rFonts w:ascii="Times New Roman" w:hAnsi="Times New Roman"/>
        </w:rPr>
      </w:pPr>
      <w:proofErr w:type="spellStart"/>
      <w:r>
        <w:rPr>
          <w:rFonts w:ascii="Times New Roman" w:hAnsi="Times New Roman"/>
        </w:rPr>
        <w:lastRenderedPageBreak/>
        <w:t>Ningrum</w:t>
      </w:r>
      <w:proofErr w:type="spellEnd"/>
      <w:r>
        <w:rPr>
          <w:rFonts w:ascii="Times New Roman" w:hAnsi="Times New Roman"/>
        </w:rPr>
        <w:t xml:space="preserve">, NR, Ritchie, NK &amp; </w:t>
      </w:r>
      <w:proofErr w:type="spellStart"/>
      <w:r>
        <w:rPr>
          <w:rFonts w:ascii="Times New Roman" w:hAnsi="Times New Roman"/>
        </w:rPr>
        <w:t>Syafitri</w:t>
      </w:r>
      <w:proofErr w:type="spellEnd"/>
      <w:r>
        <w:rPr>
          <w:rFonts w:ascii="Times New Roman" w:hAnsi="Times New Roman"/>
        </w:rPr>
        <w:t>, R., (2018). Antibody Screening and Identification in Transfusion Patients at the PMI DKI Jakarta Blood Transfusion Unit Referral Laboratory. PINLITAMAS 1, Vol 1(ISSN 2654-5411)</w:t>
      </w:r>
    </w:p>
    <w:p w14:paraId="3DCBEA93" w14:textId="77777777" w:rsidR="007B61C0" w:rsidRDefault="007B61C0" w:rsidP="007B61C0">
      <w:pPr>
        <w:pStyle w:val="ListParagraph"/>
        <w:numPr>
          <w:ilvl w:val="0"/>
          <w:numId w:val="4"/>
        </w:numPr>
        <w:spacing w:after="0" w:line="240" w:lineRule="auto"/>
        <w:jc w:val="both"/>
        <w:rPr>
          <w:rFonts w:ascii="Times New Roman" w:hAnsi="Times New Roman"/>
        </w:rPr>
      </w:pPr>
      <w:r>
        <w:rPr>
          <w:rFonts w:ascii="Times New Roman" w:hAnsi="Times New Roman"/>
        </w:rPr>
        <w:t xml:space="preserve">Amalia, </w:t>
      </w:r>
      <w:proofErr w:type="spellStart"/>
      <w:r>
        <w:rPr>
          <w:rFonts w:ascii="Times New Roman" w:hAnsi="Times New Roman"/>
        </w:rPr>
        <w:t>Hafy</w:t>
      </w:r>
      <w:proofErr w:type="spellEnd"/>
      <w:r>
        <w:rPr>
          <w:rFonts w:ascii="Times New Roman" w:hAnsi="Times New Roman"/>
        </w:rPr>
        <w:t xml:space="preserve">, Z., Liana, P. (2021). Comparison of the Proportion of Irregular Antibodies in Multiple Transfusion Patients and Non-Multi Transfusion Patients at UTD RSUP DR. Mohammad </w:t>
      </w:r>
      <w:proofErr w:type="spellStart"/>
      <w:r>
        <w:rPr>
          <w:rFonts w:ascii="Times New Roman" w:hAnsi="Times New Roman"/>
        </w:rPr>
        <w:t>Hoesin</w:t>
      </w:r>
      <w:proofErr w:type="spellEnd"/>
      <w:r>
        <w:rPr>
          <w:rFonts w:ascii="Times New Roman" w:hAnsi="Times New Roman"/>
        </w:rPr>
        <w:t xml:space="preserve"> Palembang. Surya </w:t>
      </w:r>
      <w:proofErr w:type="spellStart"/>
      <w:r>
        <w:rPr>
          <w:rFonts w:ascii="Times New Roman" w:hAnsi="Times New Roman"/>
        </w:rPr>
        <w:t>Medika</w:t>
      </w:r>
      <w:proofErr w:type="spellEnd"/>
      <w:r>
        <w:rPr>
          <w:rFonts w:ascii="Times New Roman" w:hAnsi="Times New Roman"/>
        </w:rPr>
        <w:t xml:space="preserve"> Journal, Vol. 7 No. 1, 9-14</w:t>
      </w:r>
    </w:p>
    <w:p w14:paraId="52F2DB73" w14:textId="77777777" w:rsidR="007B61C0" w:rsidRDefault="007B61C0" w:rsidP="007B61C0">
      <w:pPr>
        <w:pStyle w:val="ListParagraph"/>
        <w:numPr>
          <w:ilvl w:val="0"/>
          <w:numId w:val="4"/>
        </w:numPr>
        <w:spacing w:line="276" w:lineRule="auto"/>
        <w:jc w:val="both"/>
        <w:rPr>
          <w:rFonts w:ascii="Times New Roman" w:hAnsi="Times New Roman"/>
        </w:rPr>
      </w:pPr>
      <w:proofErr w:type="spellStart"/>
      <w:r>
        <w:rPr>
          <w:rFonts w:ascii="Times New Roman" w:hAnsi="Times New Roman"/>
        </w:rPr>
        <w:t>Pessoni</w:t>
      </w:r>
      <w:proofErr w:type="spellEnd"/>
      <w:r>
        <w:rPr>
          <w:rFonts w:ascii="Times New Roman" w:hAnsi="Times New Roman"/>
        </w:rPr>
        <w:t xml:space="preserve">, LL, Ferreira, MA, Silva, JCR d. &amp; Alcantara, KC d., (2018). Red Blood Cell Alloimmunization Among Hospitalized Patients: Transfusion Reaction and Low Alloantibody Identification rate. </w:t>
      </w:r>
      <w:proofErr w:type="spellStart"/>
      <w:r>
        <w:rPr>
          <w:rFonts w:ascii="Times New Roman" w:hAnsi="Times New Roman"/>
        </w:rPr>
        <w:t>Hematol</w:t>
      </w:r>
      <w:proofErr w:type="spellEnd"/>
      <w:r>
        <w:rPr>
          <w:rFonts w:ascii="Times New Roman" w:hAnsi="Times New Roman"/>
        </w:rPr>
        <w:t xml:space="preserve"> </w:t>
      </w:r>
      <w:proofErr w:type="spellStart"/>
      <w:r>
        <w:rPr>
          <w:rFonts w:ascii="Times New Roman" w:hAnsi="Times New Roman"/>
        </w:rPr>
        <w:t>Transfus</w:t>
      </w:r>
      <w:proofErr w:type="spellEnd"/>
      <w:r>
        <w:rPr>
          <w:rFonts w:ascii="Times New Roman" w:hAnsi="Times New Roman"/>
        </w:rPr>
        <w:t xml:space="preserve"> Cell </w:t>
      </w:r>
      <w:proofErr w:type="spellStart"/>
      <w:r>
        <w:rPr>
          <w:rFonts w:ascii="Times New Roman" w:hAnsi="Times New Roman"/>
        </w:rPr>
        <w:t>ther</w:t>
      </w:r>
      <w:proofErr w:type="spellEnd"/>
      <w:r>
        <w:rPr>
          <w:rFonts w:ascii="Times New Roman" w:hAnsi="Times New Roman"/>
        </w:rPr>
        <w:t>, 4(40), pp.326-331.</w:t>
      </w:r>
    </w:p>
    <w:p w14:paraId="49D9A0A5" w14:textId="77777777" w:rsidR="007B61C0" w:rsidRDefault="007B61C0" w:rsidP="007B61C0">
      <w:pPr>
        <w:pStyle w:val="ListParagraph"/>
        <w:numPr>
          <w:ilvl w:val="0"/>
          <w:numId w:val="4"/>
        </w:numPr>
        <w:spacing w:line="276" w:lineRule="auto"/>
        <w:jc w:val="both"/>
        <w:rPr>
          <w:rFonts w:ascii="Times New Roman" w:hAnsi="Times New Roman"/>
        </w:rPr>
      </w:pPr>
      <w:proofErr w:type="spellStart"/>
      <w:r>
        <w:rPr>
          <w:rFonts w:ascii="Times New Roman" w:hAnsi="Times New Roman"/>
        </w:rPr>
        <w:t>Septiana</w:t>
      </w:r>
      <w:proofErr w:type="spellEnd"/>
      <w:r>
        <w:rPr>
          <w:rFonts w:ascii="Times New Roman" w:hAnsi="Times New Roman"/>
        </w:rPr>
        <w:t xml:space="preserve">, D., </w:t>
      </w:r>
      <w:proofErr w:type="spellStart"/>
      <w:r>
        <w:rPr>
          <w:rFonts w:ascii="Times New Roman" w:hAnsi="Times New Roman"/>
        </w:rPr>
        <w:t>Astuti</w:t>
      </w:r>
      <w:proofErr w:type="spellEnd"/>
      <w:r>
        <w:rPr>
          <w:rFonts w:ascii="Times New Roman" w:hAnsi="Times New Roman"/>
        </w:rPr>
        <w:t xml:space="preserve">, Y. &amp; </w:t>
      </w:r>
      <w:proofErr w:type="spellStart"/>
      <w:r>
        <w:rPr>
          <w:rFonts w:ascii="Times New Roman" w:hAnsi="Times New Roman"/>
        </w:rPr>
        <w:t>Barokah</w:t>
      </w:r>
      <w:proofErr w:type="spellEnd"/>
      <w:r>
        <w:rPr>
          <w:rFonts w:ascii="Times New Roman" w:hAnsi="Times New Roman"/>
        </w:rPr>
        <w:t xml:space="preserve">, L., (2021). Description of the Characteristics of Blood Donors Who Pass Donor Selection at the Indonesian Red Cross Blood Transfusion Unit, </w:t>
      </w:r>
      <w:proofErr w:type="spellStart"/>
      <w:r>
        <w:rPr>
          <w:rFonts w:ascii="Times New Roman" w:hAnsi="Times New Roman"/>
        </w:rPr>
        <w:t>Gunungkidul</w:t>
      </w:r>
      <w:proofErr w:type="spellEnd"/>
      <w:r>
        <w:rPr>
          <w:rFonts w:ascii="Times New Roman" w:hAnsi="Times New Roman"/>
        </w:rPr>
        <w:t xml:space="preserve"> Regency. Cerebral Medical Sciences, 3(2)</w:t>
      </w:r>
    </w:p>
    <w:p w14:paraId="3CF4B9ED" w14:textId="77777777" w:rsidR="007B61C0" w:rsidRDefault="007B61C0" w:rsidP="007B61C0">
      <w:pPr>
        <w:pStyle w:val="ListParagraph"/>
        <w:numPr>
          <w:ilvl w:val="0"/>
          <w:numId w:val="4"/>
        </w:numPr>
        <w:spacing w:line="276" w:lineRule="auto"/>
        <w:jc w:val="both"/>
        <w:rPr>
          <w:rFonts w:ascii="Times New Roman" w:hAnsi="Times New Roman"/>
        </w:rPr>
      </w:pPr>
      <w:proofErr w:type="spellStart"/>
      <w:r>
        <w:rPr>
          <w:rFonts w:ascii="Times New Roman" w:hAnsi="Times New Roman"/>
        </w:rPr>
        <w:t>Hadijah</w:t>
      </w:r>
      <w:proofErr w:type="spellEnd"/>
      <w:r>
        <w:rPr>
          <w:rFonts w:ascii="Times New Roman" w:hAnsi="Times New Roman"/>
        </w:rPr>
        <w:t xml:space="preserve">, S., </w:t>
      </w:r>
      <w:proofErr w:type="spellStart"/>
      <w:r>
        <w:rPr>
          <w:rFonts w:ascii="Times New Roman" w:hAnsi="Times New Roman"/>
        </w:rPr>
        <w:t>Hasnawati</w:t>
      </w:r>
      <w:proofErr w:type="spellEnd"/>
      <w:r>
        <w:rPr>
          <w:rFonts w:ascii="Times New Roman" w:hAnsi="Times New Roman"/>
        </w:rPr>
        <w:t xml:space="preserve"> &amp; </w:t>
      </w:r>
      <w:proofErr w:type="spellStart"/>
      <w:r>
        <w:rPr>
          <w:rFonts w:ascii="Times New Roman" w:hAnsi="Times New Roman"/>
        </w:rPr>
        <w:t>Hafid</w:t>
      </w:r>
      <w:proofErr w:type="spellEnd"/>
      <w:r>
        <w:rPr>
          <w:rFonts w:ascii="Times New Roman" w:hAnsi="Times New Roman"/>
        </w:rPr>
        <w:t>, MP, (2019). Effect of Menstrual Period on Hemoglobin Levels and Erythrocyte Morphology. Health Analyst Media, 10(1).</w:t>
      </w:r>
    </w:p>
    <w:p w14:paraId="138D86BA" w14:textId="77777777" w:rsidR="007B61C0" w:rsidRDefault="007B61C0" w:rsidP="007B61C0">
      <w:pPr>
        <w:pStyle w:val="ListParagraph"/>
        <w:numPr>
          <w:ilvl w:val="0"/>
          <w:numId w:val="4"/>
        </w:numPr>
        <w:spacing w:line="276" w:lineRule="auto"/>
        <w:jc w:val="both"/>
        <w:rPr>
          <w:rFonts w:ascii="Times New Roman" w:hAnsi="Times New Roman"/>
        </w:rPr>
      </w:pPr>
      <w:r>
        <w:rPr>
          <w:rFonts w:ascii="Times New Roman" w:hAnsi="Times New Roman"/>
        </w:rPr>
        <w:t xml:space="preserve">RI Minister of Health Regulation. (2015). Blood Transfusion Service Standards. </w:t>
      </w:r>
      <w:proofErr w:type="gramStart"/>
      <w:r>
        <w:rPr>
          <w:rFonts w:ascii="Times New Roman" w:hAnsi="Times New Roman"/>
        </w:rPr>
        <w:t>Jakarta :</w:t>
      </w:r>
      <w:proofErr w:type="gramEnd"/>
      <w:r>
        <w:rPr>
          <w:rFonts w:ascii="Times New Roman" w:hAnsi="Times New Roman"/>
        </w:rPr>
        <w:t xml:space="preserve"> Ministry of Health.</w:t>
      </w:r>
    </w:p>
    <w:p w14:paraId="377647F1" w14:textId="77777777" w:rsidR="007B61C0" w:rsidRDefault="007B61C0" w:rsidP="007B61C0">
      <w:pPr>
        <w:pStyle w:val="ListParagraph"/>
        <w:numPr>
          <w:ilvl w:val="0"/>
          <w:numId w:val="4"/>
        </w:numPr>
        <w:spacing w:line="276" w:lineRule="auto"/>
        <w:jc w:val="both"/>
        <w:rPr>
          <w:rFonts w:ascii="Times New Roman" w:hAnsi="Times New Roman"/>
        </w:rPr>
      </w:pPr>
      <w:r>
        <w:rPr>
          <w:rFonts w:ascii="Times New Roman" w:hAnsi="Times New Roman"/>
        </w:rPr>
        <w:t xml:space="preserve">Maria, </w:t>
      </w:r>
      <w:proofErr w:type="spellStart"/>
      <w:r>
        <w:rPr>
          <w:rFonts w:ascii="Times New Roman" w:hAnsi="Times New Roman"/>
        </w:rPr>
        <w:t>Fitriangga</w:t>
      </w:r>
      <w:proofErr w:type="spellEnd"/>
      <w:r>
        <w:rPr>
          <w:rFonts w:ascii="Times New Roman" w:hAnsi="Times New Roman"/>
        </w:rPr>
        <w:t xml:space="preserve"> &amp; </w:t>
      </w:r>
      <w:proofErr w:type="spellStart"/>
      <w:r>
        <w:rPr>
          <w:rFonts w:ascii="Times New Roman" w:hAnsi="Times New Roman"/>
        </w:rPr>
        <w:t>Agus</w:t>
      </w:r>
      <w:proofErr w:type="spellEnd"/>
      <w:r>
        <w:rPr>
          <w:rFonts w:ascii="Times New Roman" w:hAnsi="Times New Roman"/>
        </w:rPr>
        <w:t>, H., (2013). Description, knowledge, attitudes and motivation regarding blood donation in voluntary blood donors in the Pontianak City Blood Donor Unit 2013, Vol III.</w:t>
      </w:r>
    </w:p>
    <w:bookmarkStart w:id="0" w:name="_GoBack"/>
    <w:bookmarkEnd w:id="0"/>
    <w:p w14:paraId="6C0965D3" w14:textId="10EA3D83" w:rsidR="007B61C0" w:rsidRPr="00B70A46" w:rsidRDefault="002677CB" w:rsidP="007B61C0">
      <w:pPr>
        <w:pStyle w:val="ListParagraph"/>
        <w:widowControl w:val="0"/>
        <w:numPr>
          <w:ilvl w:val="0"/>
          <w:numId w:val="3"/>
        </w:numPr>
        <w:autoSpaceDE w:val="0"/>
        <w:autoSpaceDN w:val="0"/>
        <w:adjustRightInd w:val="0"/>
        <w:spacing w:after="0" w:line="240" w:lineRule="auto"/>
        <w:jc w:val="both"/>
        <w:rPr>
          <w:rFonts w:ascii="Times New Roman" w:hAnsi="Times New Roman" w:cs="Times New Roman"/>
          <w:i/>
          <w:iCs/>
          <w:noProof/>
          <w:sz w:val="24"/>
          <w:szCs w:val="24"/>
        </w:rPr>
      </w:pPr>
      <w:r>
        <w:rPr>
          <w:rFonts w:ascii="Times New Roman" w:eastAsia="Times New Roman" w:hAnsi="Times New Roman" w:cs="Times New Roman"/>
          <w:sz w:val="24"/>
          <w:szCs w:val="24"/>
        </w:rPr>
        <w:fldChar w:fldCharType="begin" w:fldLock="1"/>
      </w:r>
      <w:r w:rsidRPr="00B70A46">
        <w:rPr>
          <w:rFonts w:ascii="Times New Roman" w:eastAsia="Times New Roman" w:hAnsi="Times New Roman" w:cs="Times New Roman"/>
          <w:sz w:val="24"/>
          <w:szCs w:val="24"/>
        </w:rPr>
        <w:instrText xml:space="preserve">ADDIN Mendeley Bibliography CSL_BIBLIOGRAPHY </w:instrText>
      </w:r>
      <w:r>
        <w:rPr>
          <w:rFonts w:ascii="Times New Roman" w:eastAsia="Times New Roman" w:hAnsi="Times New Roman" w:cs="Times New Roman"/>
          <w:sz w:val="24"/>
          <w:szCs w:val="24"/>
        </w:rPr>
        <w:fldChar w:fldCharType="separate"/>
      </w:r>
    </w:p>
    <w:p w14:paraId="0DE3B951" w14:textId="4D79A00B" w:rsidR="00DD1919" w:rsidRPr="00B70A46" w:rsidRDefault="00DD1919" w:rsidP="007B61C0">
      <w:pPr>
        <w:pStyle w:val="ListParagraph"/>
        <w:widowControl w:val="0"/>
        <w:autoSpaceDE w:val="0"/>
        <w:autoSpaceDN w:val="0"/>
        <w:adjustRightInd w:val="0"/>
        <w:spacing w:after="0" w:line="240" w:lineRule="auto"/>
        <w:jc w:val="both"/>
        <w:rPr>
          <w:rFonts w:ascii="Times New Roman" w:hAnsi="Times New Roman" w:cs="Times New Roman"/>
          <w:noProof/>
          <w:sz w:val="24"/>
          <w:szCs w:val="24"/>
        </w:rPr>
      </w:pPr>
    </w:p>
    <w:p w14:paraId="19E44B0F" w14:textId="2A9BA0D7" w:rsidR="002677CB" w:rsidRDefault="002677CB" w:rsidP="00B70A4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fldChar w:fldCharType="end"/>
      </w:r>
    </w:p>
    <w:sectPr w:rsidR="002677CB">
      <w:type w:val="continuous"/>
      <w:pgSz w:w="12240" w:h="15840"/>
      <w:pgMar w:top="1440" w:right="1440" w:bottom="1440" w:left="1440" w:header="720" w:footer="864" w:gutter="0"/>
      <w:cols w:num="2" w:space="720" w:equalWidth="0">
        <w:col w:w="4320" w:space="720"/>
        <w:col w:w="4320"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554D91" w14:textId="77777777" w:rsidR="005768D9" w:rsidRDefault="005768D9">
      <w:pPr>
        <w:spacing w:after="0" w:line="240" w:lineRule="auto"/>
      </w:pPr>
      <w:r>
        <w:separator/>
      </w:r>
    </w:p>
  </w:endnote>
  <w:endnote w:type="continuationSeparator" w:id="0">
    <w:p w14:paraId="66B4A70E" w14:textId="77777777" w:rsidR="005768D9" w:rsidRDefault="005768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31C2CC" w14:textId="77777777" w:rsidR="00B70A46" w:rsidRDefault="00B70A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1569330"/>
      <w:docPartObj>
        <w:docPartGallery w:val="Page Numbers (Bottom of Page)"/>
        <w:docPartUnique/>
      </w:docPartObj>
    </w:sdtPr>
    <w:sdtEndPr>
      <w:rPr>
        <w:noProof/>
      </w:rPr>
    </w:sdtEndPr>
    <w:sdtContent>
      <w:p w14:paraId="6E628C68" w14:textId="13E47CEB" w:rsidR="00AC5935" w:rsidRDefault="00AC593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B4B7B37" w14:textId="1F111BC1" w:rsidR="007C1DE3" w:rsidRDefault="007C1DE3">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7CE366" w14:textId="77777777" w:rsidR="007C1DE3" w:rsidRDefault="004077A7">
    <w:pPr>
      <w:pBdr>
        <w:top w:val="single" w:sz="4" w:space="1" w:color="D9D9D9"/>
        <w:left w:val="nil"/>
        <w:bottom w:val="nil"/>
        <w:right w:val="nil"/>
        <w:between w:val="nil"/>
      </w:pBdr>
      <w:tabs>
        <w:tab w:val="center" w:pos="4680"/>
        <w:tab w:val="right" w:pos="9360"/>
      </w:tabs>
      <w:spacing w:after="0" w:line="240" w:lineRule="auto"/>
      <w:jc w:val="right"/>
      <w:rPr>
        <w:b/>
        <w:color w:val="000000"/>
      </w:rPr>
    </w:pPr>
    <w:r>
      <w:rPr>
        <w:color w:val="000000"/>
      </w:rPr>
      <w:fldChar w:fldCharType="begin"/>
    </w:r>
    <w:r>
      <w:rPr>
        <w:color w:val="000000"/>
      </w:rPr>
      <w:instrText>PAGE</w:instrText>
    </w:r>
    <w:r>
      <w:rPr>
        <w:color w:val="000000"/>
      </w:rPr>
      <w:fldChar w:fldCharType="separate"/>
    </w:r>
    <w:r w:rsidR="002904A3">
      <w:rPr>
        <w:noProof/>
        <w:color w:val="000000"/>
      </w:rPr>
      <w:t>1</w:t>
    </w:r>
    <w:r>
      <w:rPr>
        <w:color w:val="000000"/>
      </w:rPr>
      <w:fldChar w:fldCharType="end"/>
    </w:r>
    <w:r>
      <w:rPr>
        <w:b/>
        <w:color w:val="000000"/>
      </w:rPr>
      <w:t xml:space="preserve"> | </w:t>
    </w:r>
    <w:r>
      <w:rPr>
        <w:color w:val="7F7F7F"/>
      </w:rPr>
      <w:t>Page</w:t>
    </w:r>
  </w:p>
  <w:p w14:paraId="5A2C7A93" w14:textId="77777777" w:rsidR="007C1DE3" w:rsidRDefault="004077A7">
    <w:pPr>
      <w:pBdr>
        <w:top w:val="nil"/>
        <w:left w:val="nil"/>
        <w:bottom w:val="nil"/>
        <w:right w:val="nil"/>
        <w:between w:val="nil"/>
      </w:pBdr>
      <w:tabs>
        <w:tab w:val="center" w:pos="4680"/>
        <w:tab w:val="right" w:pos="9360"/>
      </w:tabs>
      <w:spacing w:after="0" w:line="240" w:lineRule="auto"/>
      <w:rPr>
        <w:color w:val="000000"/>
      </w:rPr>
    </w:pPr>
    <w:r>
      <w:rPr>
        <w:color w:val="000000"/>
      </w:rPr>
      <w:t>@copyright author Journal of Applied Health Management and Technology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FCB347" w14:textId="77777777" w:rsidR="005768D9" w:rsidRDefault="005768D9">
      <w:pPr>
        <w:spacing w:after="0" w:line="240" w:lineRule="auto"/>
      </w:pPr>
      <w:r>
        <w:separator/>
      </w:r>
    </w:p>
  </w:footnote>
  <w:footnote w:type="continuationSeparator" w:id="0">
    <w:p w14:paraId="484D9746" w14:textId="77777777" w:rsidR="005768D9" w:rsidRDefault="005768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E52807" w14:textId="77777777" w:rsidR="00B70A46" w:rsidRDefault="00B70A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1B1882" w14:textId="77777777" w:rsidR="007C1DE3" w:rsidRDefault="007C1DE3">
    <w:pPr>
      <w:ind w:right="-3"/>
      <w:jc w:val="both"/>
      <w:rPr>
        <w:color w:val="70AD47"/>
        <w:sz w:val="16"/>
        <w:szCs w:val="16"/>
        <w:u w:val="single"/>
      </w:rPr>
    </w:pPr>
  </w:p>
  <w:p w14:paraId="5D880F63" w14:textId="77777777" w:rsidR="007C1DE3" w:rsidRDefault="007C1DE3">
    <w:pPr>
      <w:ind w:left="5040" w:right="-988" w:firstLine="720"/>
      <w:jc w:val="both"/>
      <w:rPr>
        <w:color w:val="70AD47"/>
        <w:sz w:val="16"/>
        <w:szCs w:val="16"/>
        <w:u w:val="singl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D8A3FE" w14:textId="1751BCD8" w:rsidR="007C1DE3" w:rsidRDefault="004077A7">
    <w:pPr>
      <w:spacing w:after="0" w:line="240" w:lineRule="auto"/>
      <w:ind w:right="238"/>
      <w:jc w:val="center"/>
      <w:rPr>
        <w:rFonts w:ascii="Arial" w:eastAsia="Arial" w:hAnsi="Arial" w:cs="Arial"/>
        <w:b/>
        <w:color w:val="333333"/>
        <w:sz w:val="16"/>
        <w:szCs w:val="16"/>
      </w:rPr>
    </w:pPr>
    <w:r>
      <w:rPr>
        <w:rFonts w:ascii="Arial" w:eastAsia="Arial" w:hAnsi="Arial" w:cs="Arial"/>
        <w:b/>
        <w:color w:val="333333"/>
        <w:sz w:val="16"/>
        <w:szCs w:val="16"/>
      </w:rPr>
      <w:t xml:space="preserve">Journal of Applied Health Management and Technology Vol </w:t>
    </w:r>
    <w:r w:rsidR="00B70A46">
      <w:rPr>
        <w:rFonts w:ascii="Arial" w:eastAsia="Arial" w:hAnsi="Arial" w:cs="Arial"/>
        <w:b/>
        <w:color w:val="333333"/>
        <w:sz w:val="16"/>
        <w:szCs w:val="16"/>
      </w:rPr>
      <w:t>5</w:t>
    </w:r>
    <w:r>
      <w:rPr>
        <w:rFonts w:ascii="Arial" w:eastAsia="Arial" w:hAnsi="Arial" w:cs="Arial"/>
        <w:b/>
        <w:color w:val="333333"/>
        <w:sz w:val="16"/>
        <w:szCs w:val="16"/>
      </w:rPr>
      <w:t xml:space="preserve">, No </w:t>
    </w:r>
    <w:r w:rsidR="00B70A46">
      <w:rPr>
        <w:rFonts w:ascii="Arial" w:eastAsia="Arial" w:hAnsi="Arial" w:cs="Arial"/>
        <w:b/>
        <w:color w:val="333333"/>
        <w:sz w:val="16"/>
        <w:szCs w:val="16"/>
      </w:rPr>
      <w:t>4</w:t>
    </w:r>
    <w:r>
      <w:rPr>
        <w:rFonts w:ascii="Arial" w:eastAsia="Arial" w:hAnsi="Arial" w:cs="Arial"/>
        <w:b/>
        <w:color w:val="333333"/>
        <w:sz w:val="16"/>
        <w:szCs w:val="16"/>
      </w:rPr>
      <w:t xml:space="preserve"> (202</w:t>
    </w:r>
    <w:r w:rsidR="00B70A46">
      <w:rPr>
        <w:rFonts w:ascii="Arial" w:eastAsia="Arial" w:hAnsi="Arial" w:cs="Arial"/>
        <w:b/>
        <w:color w:val="333333"/>
        <w:sz w:val="16"/>
        <w:szCs w:val="16"/>
      </w:rPr>
      <w:t>3</w:t>
    </w:r>
    <w:r>
      <w:rPr>
        <w:rFonts w:ascii="Arial" w:eastAsia="Arial" w:hAnsi="Arial" w:cs="Arial"/>
        <w:b/>
        <w:color w:val="333333"/>
        <w:sz w:val="16"/>
        <w:szCs w:val="16"/>
      </w:rPr>
      <w:t xml:space="preserve">) </w:t>
    </w:r>
    <w:r>
      <w:rPr>
        <w:noProof/>
      </w:rPr>
      <w:drawing>
        <wp:anchor distT="0" distB="0" distL="0" distR="0" simplePos="0" relativeHeight="251658240" behindDoc="1" locked="0" layoutInCell="1" hidden="0" allowOverlap="1" wp14:anchorId="226B3065" wp14:editId="052C4D4A">
          <wp:simplePos x="0" y="0"/>
          <wp:positionH relativeFrom="column">
            <wp:posOffset>4867275</wp:posOffset>
          </wp:positionH>
          <wp:positionV relativeFrom="paragraph">
            <wp:posOffset>-145414</wp:posOffset>
          </wp:positionV>
          <wp:extent cx="1485900" cy="1114425"/>
          <wp:effectExtent l="0" t="0" r="0" b="0"/>
          <wp:wrapNone/>
          <wp:docPr id="22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485900" cy="1114425"/>
                  </a:xfrm>
                  <a:prstGeom prst="rect">
                    <a:avLst/>
                  </a:prstGeom>
                  <a:ln/>
                </pic:spPr>
              </pic:pic>
            </a:graphicData>
          </a:graphic>
        </wp:anchor>
      </w:drawing>
    </w:r>
    <w:r>
      <w:rPr>
        <w:noProof/>
      </w:rPr>
      <w:drawing>
        <wp:anchor distT="0" distB="0" distL="0" distR="0" simplePos="0" relativeHeight="251659264" behindDoc="1" locked="0" layoutInCell="1" hidden="0" allowOverlap="1" wp14:anchorId="0F9DC503" wp14:editId="329BAF40">
          <wp:simplePos x="0" y="0"/>
          <wp:positionH relativeFrom="column">
            <wp:posOffset>-209549</wp:posOffset>
          </wp:positionH>
          <wp:positionV relativeFrom="paragraph">
            <wp:posOffset>-12064</wp:posOffset>
          </wp:positionV>
          <wp:extent cx="806132" cy="1140754"/>
          <wp:effectExtent l="0" t="0" r="0" b="0"/>
          <wp:wrapNone/>
          <wp:docPr id="220" name="image2.jpg" descr="C:\Users\HP\Downloads\cover jurnal depan copy.jpg"/>
          <wp:cNvGraphicFramePr/>
          <a:graphic xmlns:a="http://schemas.openxmlformats.org/drawingml/2006/main">
            <a:graphicData uri="http://schemas.openxmlformats.org/drawingml/2006/picture">
              <pic:pic xmlns:pic="http://schemas.openxmlformats.org/drawingml/2006/picture">
                <pic:nvPicPr>
                  <pic:cNvPr id="0" name="image2.jpg" descr="C:\Users\HP\Downloads\cover jurnal depan copy.jpg"/>
                  <pic:cNvPicPr preferRelativeResize="0"/>
                </pic:nvPicPr>
                <pic:blipFill>
                  <a:blip r:embed="rId2"/>
                  <a:srcRect/>
                  <a:stretch>
                    <a:fillRect/>
                  </a:stretch>
                </pic:blipFill>
                <pic:spPr>
                  <a:xfrm>
                    <a:off x="0" y="0"/>
                    <a:ext cx="806132" cy="1140754"/>
                  </a:xfrm>
                  <a:prstGeom prst="rect">
                    <a:avLst/>
                  </a:prstGeom>
                  <a:ln/>
                </pic:spPr>
              </pic:pic>
            </a:graphicData>
          </a:graphic>
        </wp:anchor>
      </w:drawing>
    </w:r>
  </w:p>
  <w:p w14:paraId="16182370" w14:textId="77777777" w:rsidR="007C1DE3" w:rsidRDefault="007C1DE3">
    <w:pPr>
      <w:pBdr>
        <w:top w:val="nil"/>
        <w:left w:val="nil"/>
        <w:bottom w:val="nil"/>
        <w:right w:val="nil"/>
        <w:between w:val="nil"/>
      </w:pBdr>
      <w:tabs>
        <w:tab w:val="center" w:pos="4680"/>
        <w:tab w:val="right" w:pos="9360"/>
      </w:tabs>
      <w:spacing w:after="0" w:line="240" w:lineRule="auto"/>
      <w:rPr>
        <w:color w:val="000000"/>
      </w:rPr>
    </w:pPr>
  </w:p>
  <w:p w14:paraId="37144333" w14:textId="77777777" w:rsidR="007C1DE3" w:rsidRDefault="004077A7">
    <w:pPr>
      <w:spacing w:after="0" w:line="240" w:lineRule="auto"/>
      <w:ind w:right="238"/>
      <w:jc w:val="center"/>
      <w:rPr>
        <w:rFonts w:ascii="Arial" w:eastAsia="Arial" w:hAnsi="Arial" w:cs="Arial"/>
        <w:b/>
        <w:color w:val="333333"/>
        <w:sz w:val="36"/>
        <w:szCs w:val="36"/>
      </w:rPr>
    </w:pPr>
    <w:r>
      <w:rPr>
        <w:rFonts w:ascii="Arial" w:eastAsia="Arial" w:hAnsi="Arial" w:cs="Arial"/>
        <w:b/>
        <w:color w:val="333333"/>
        <w:sz w:val="36"/>
        <w:szCs w:val="36"/>
      </w:rPr>
      <w:t>Journal of Applied Health</w:t>
    </w:r>
  </w:p>
  <w:p w14:paraId="1F62C842" w14:textId="77777777" w:rsidR="007C1DE3" w:rsidRDefault="004077A7">
    <w:pPr>
      <w:spacing w:after="0" w:line="240" w:lineRule="auto"/>
      <w:ind w:left="1620" w:right="238"/>
      <w:jc w:val="center"/>
      <w:rPr>
        <w:rFonts w:ascii="Arial" w:eastAsia="Arial" w:hAnsi="Arial" w:cs="Arial"/>
        <w:b/>
        <w:color w:val="333333"/>
        <w:sz w:val="36"/>
        <w:szCs w:val="36"/>
      </w:rPr>
    </w:pPr>
    <w:r>
      <w:rPr>
        <w:rFonts w:ascii="Arial" w:eastAsia="Arial" w:hAnsi="Arial" w:cs="Arial"/>
        <w:b/>
        <w:color w:val="333333"/>
        <w:sz w:val="36"/>
        <w:szCs w:val="36"/>
      </w:rPr>
      <w:t>Management and Technology</w:t>
    </w:r>
    <w:r>
      <w:rPr>
        <w:noProof/>
      </w:rPr>
      <mc:AlternateContent>
        <mc:Choice Requires="wps">
          <w:drawing>
            <wp:anchor distT="45720" distB="45720" distL="114300" distR="114300" simplePos="0" relativeHeight="251660288" behindDoc="0" locked="0" layoutInCell="1" hidden="0" allowOverlap="1" wp14:anchorId="199EF5B5" wp14:editId="0244D0DD">
              <wp:simplePos x="0" y="0"/>
              <wp:positionH relativeFrom="column">
                <wp:posOffset>4851400</wp:posOffset>
              </wp:positionH>
              <wp:positionV relativeFrom="paragraph">
                <wp:posOffset>236220</wp:posOffset>
              </wp:positionV>
              <wp:extent cx="1571625" cy="371475"/>
              <wp:effectExtent l="0" t="0" r="0" b="0"/>
              <wp:wrapSquare wrapText="bothSides" distT="45720" distB="45720" distL="114300" distR="114300"/>
              <wp:docPr id="218" name="Rectangle 218"/>
              <wp:cNvGraphicFramePr/>
              <a:graphic xmlns:a="http://schemas.openxmlformats.org/drawingml/2006/main">
                <a:graphicData uri="http://schemas.microsoft.com/office/word/2010/wordprocessingShape">
                  <wps:wsp>
                    <wps:cNvSpPr/>
                    <wps:spPr>
                      <a:xfrm>
                        <a:off x="4564950" y="3599025"/>
                        <a:ext cx="1562100" cy="361950"/>
                      </a:xfrm>
                      <a:prstGeom prst="rect">
                        <a:avLst/>
                      </a:prstGeom>
                      <a:noFill/>
                      <a:ln>
                        <a:noFill/>
                      </a:ln>
                    </wps:spPr>
                    <wps:txbx>
                      <w:txbxContent>
                        <w:p w14:paraId="250D52ED" w14:textId="77777777" w:rsidR="007C1DE3" w:rsidRDefault="004077A7">
                          <w:pPr>
                            <w:spacing w:line="258" w:lineRule="auto"/>
                            <w:ind w:right="80"/>
                            <w:jc w:val="center"/>
                            <w:textDirection w:val="btLr"/>
                          </w:pPr>
                          <w:r>
                            <w:rPr>
                              <w:color w:val="70AD47"/>
                              <w:sz w:val="16"/>
                              <w:u w:val="single"/>
                            </w:rPr>
                            <w:t>http://ejournal.poltekkes-smg.ac.id/ojs/index.php/JAHMT</w:t>
                          </w:r>
                        </w:p>
                        <w:p w14:paraId="0B332120" w14:textId="77777777" w:rsidR="007C1DE3" w:rsidRDefault="007C1DE3">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w14:anchorId="199EF5B5" id="Rectangle 218" o:spid="_x0000_s1026" style="position:absolute;left:0;text-align:left;margin-left:382pt;margin-top:18.6pt;width:123.75pt;height:29.25pt;z-index:25166028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" filled="f" stroked="f">
              <v:textbox inset="2.53958mm,1.2694mm,2.53958mm,1.2694mm">
                <w:txbxContent>
                  <w:p w14:paraId="250D52ED" w14:textId="77777777" w:rsidR="007C1DE3" w:rsidRDefault="004077A7">
                    <w:pPr>
                      <w:spacing w:line="258" w:lineRule="auto"/>
                      <w:ind w:right="80"/>
                      <w:jc w:val="center"/>
                      <w:textDirection w:val="btLr"/>
                    </w:pPr>
                    <w:r>
                      <w:rPr>
                        <w:color w:val="70AD47"/>
                        <w:sz w:val="16"/>
                        <w:u w:val="single"/>
                      </w:rPr>
                      <w:t>http://ejournal.poltekkes-smg.ac.id/ojs/index.php/JAHMT</w:t>
                    </w:r>
                  </w:p>
                  <w:p w14:paraId="0B332120" w14:textId="77777777" w:rsidR="007C1DE3" w:rsidRDefault="007C1DE3">
                    <w:pPr>
                      <w:spacing w:line="258" w:lineRule="auto"/>
                      <w:textDirection w:val="btLr"/>
                    </w:pPr>
                  </w:p>
                </w:txbxContent>
              </v:textbox>
              <w10:wrap type="square"/>
            </v:rect>
          </w:pict>
        </mc:Fallback>
      </mc:AlternateContent>
    </w:r>
  </w:p>
  <w:p w14:paraId="2BA93F74" w14:textId="77777777" w:rsidR="007C1DE3" w:rsidRDefault="007C1DE3">
    <w:pPr>
      <w:pBdr>
        <w:top w:val="nil"/>
        <w:left w:val="nil"/>
        <w:bottom w:val="nil"/>
        <w:right w:val="nil"/>
        <w:between w:val="nil"/>
      </w:pBdr>
      <w:tabs>
        <w:tab w:val="center" w:pos="4680"/>
        <w:tab w:val="right" w:pos="9360"/>
      </w:tabs>
      <w:spacing w:after="0" w:line="240" w:lineRule="auto"/>
      <w:rPr>
        <w:color w:val="000000"/>
      </w:rPr>
    </w:pPr>
  </w:p>
  <w:p w14:paraId="16F416D1" w14:textId="77777777" w:rsidR="007C1DE3" w:rsidRDefault="004077A7">
    <w:pPr>
      <w:pBdr>
        <w:top w:val="nil"/>
        <w:left w:val="nil"/>
        <w:bottom w:val="nil"/>
        <w:right w:val="nil"/>
        <w:between w:val="nil"/>
      </w:pBdr>
      <w:tabs>
        <w:tab w:val="center" w:pos="4680"/>
        <w:tab w:val="right" w:pos="9360"/>
      </w:tabs>
      <w:spacing w:after="0" w:line="240" w:lineRule="auto"/>
      <w:ind w:left="1080"/>
      <w:jc w:val="center"/>
      <w:rPr>
        <w:rFonts w:ascii="Arial" w:eastAsia="Arial" w:hAnsi="Arial" w:cs="Arial"/>
        <w:b/>
        <w:color w:val="000000"/>
        <w:highlight w:val="white"/>
      </w:rPr>
    </w:pPr>
    <w:r>
      <w:rPr>
        <w:rFonts w:ascii="Arial" w:eastAsia="Arial" w:hAnsi="Arial" w:cs="Arial"/>
        <w:b/>
        <w:color w:val="000000"/>
        <w:highlight w:val="white"/>
      </w:rPr>
      <w:t>p-ISSN: </w:t>
    </w:r>
    <w:hyperlink r:id="rId3">
      <w:r>
        <w:rPr>
          <w:rFonts w:ascii="Arial" w:eastAsia="Arial" w:hAnsi="Arial" w:cs="Arial"/>
          <w:b/>
          <w:color w:val="000000"/>
          <w:highlight w:val="white"/>
        </w:rPr>
        <w:t>2715-3061</w:t>
      </w:r>
    </w:hyperlink>
  </w:p>
  <w:p w14:paraId="2D1C02F4" w14:textId="77777777" w:rsidR="007C1DE3" w:rsidRDefault="004077A7">
    <w:pPr>
      <w:pBdr>
        <w:top w:val="nil"/>
        <w:left w:val="nil"/>
        <w:bottom w:val="nil"/>
        <w:right w:val="nil"/>
        <w:between w:val="nil"/>
      </w:pBdr>
      <w:tabs>
        <w:tab w:val="center" w:pos="4680"/>
        <w:tab w:val="right" w:pos="9360"/>
      </w:tabs>
      <w:spacing w:after="0" w:line="240" w:lineRule="auto"/>
      <w:ind w:left="1080"/>
      <w:jc w:val="center"/>
      <w:rPr>
        <w:rFonts w:ascii="Arial" w:eastAsia="Arial" w:hAnsi="Arial" w:cs="Arial"/>
        <w:b/>
        <w:color w:val="000000"/>
        <w:highlight w:val="white"/>
      </w:rPr>
    </w:pPr>
    <w:r>
      <w:rPr>
        <w:b/>
        <w:color w:val="000000"/>
      </w:rPr>
      <w:t>e-</w:t>
    </w:r>
    <w:r>
      <w:rPr>
        <w:rFonts w:ascii="Arial" w:eastAsia="Arial" w:hAnsi="Arial" w:cs="Arial"/>
        <w:b/>
        <w:color w:val="000000"/>
        <w:highlight w:val="white"/>
      </w:rPr>
      <w:t>ISSN: </w:t>
    </w:r>
    <w:hyperlink r:id="rId4">
      <w:r>
        <w:rPr>
          <w:rFonts w:ascii="Arial" w:eastAsia="Arial" w:hAnsi="Arial" w:cs="Arial"/>
          <w:b/>
          <w:color w:val="000000"/>
          <w:highlight w:val="white"/>
        </w:rPr>
        <w:t>2715-307X</w:t>
      </w:r>
    </w:hyperlink>
  </w:p>
  <w:p w14:paraId="26AA18DE" w14:textId="77777777" w:rsidR="007C1DE3" w:rsidRDefault="007C1DE3">
    <w:pPr>
      <w:pBdr>
        <w:top w:val="nil"/>
        <w:left w:val="nil"/>
        <w:bottom w:val="nil"/>
        <w:right w:val="nil"/>
        <w:between w:val="nil"/>
      </w:pBdr>
      <w:tabs>
        <w:tab w:val="center" w:pos="4680"/>
        <w:tab w:val="right" w:pos="9360"/>
      </w:tabs>
      <w:spacing w:after="0" w:line="240" w:lineRule="auto"/>
      <w:jc w:val="center"/>
      <w:rPr>
        <w:rFonts w:ascii="Arial" w:eastAsia="Arial" w:hAnsi="Arial" w:cs="Arial"/>
        <w:b/>
        <w:color w:val="000000"/>
        <w:highlight w:val="whit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7F21B1D"/>
    <w:multiLevelType w:val="hybridMultilevel"/>
    <w:tmpl w:val="C7802862"/>
    <w:lvl w:ilvl="0" w:tplc="3809000F">
      <w:start w:val="1"/>
      <w:numFmt w:val="decimal"/>
      <w:lvlText w:val="%1."/>
      <w:lvlJc w:val="left"/>
      <w:pPr>
        <w:ind w:left="769" w:hanging="360"/>
      </w:pPr>
    </w:lvl>
    <w:lvl w:ilvl="1" w:tplc="38090019">
      <w:start w:val="1"/>
      <w:numFmt w:val="lowerLetter"/>
      <w:lvlText w:val="%2."/>
      <w:lvlJc w:val="left"/>
      <w:pPr>
        <w:ind w:left="1489" w:hanging="360"/>
      </w:pPr>
    </w:lvl>
    <w:lvl w:ilvl="2" w:tplc="3809001B">
      <w:start w:val="1"/>
      <w:numFmt w:val="lowerRoman"/>
      <w:lvlText w:val="%3."/>
      <w:lvlJc w:val="right"/>
      <w:pPr>
        <w:ind w:left="2209" w:hanging="180"/>
      </w:pPr>
    </w:lvl>
    <w:lvl w:ilvl="3" w:tplc="3809000F">
      <w:start w:val="1"/>
      <w:numFmt w:val="decimal"/>
      <w:lvlText w:val="%4."/>
      <w:lvlJc w:val="left"/>
      <w:pPr>
        <w:ind w:left="2929" w:hanging="360"/>
      </w:pPr>
    </w:lvl>
    <w:lvl w:ilvl="4" w:tplc="38090019">
      <w:start w:val="1"/>
      <w:numFmt w:val="lowerLetter"/>
      <w:lvlText w:val="%5."/>
      <w:lvlJc w:val="left"/>
      <w:pPr>
        <w:ind w:left="3649" w:hanging="360"/>
      </w:pPr>
    </w:lvl>
    <w:lvl w:ilvl="5" w:tplc="3809001B">
      <w:start w:val="1"/>
      <w:numFmt w:val="lowerRoman"/>
      <w:lvlText w:val="%6."/>
      <w:lvlJc w:val="right"/>
      <w:pPr>
        <w:ind w:left="4369" w:hanging="180"/>
      </w:pPr>
    </w:lvl>
    <w:lvl w:ilvl="6" w:tplc="3809000F">
      <w:start w:val="1"/>
      <w:numFmt w:val="decimal"/>
      <w:lvlText w:val="%7."/>
      <w:lvlJc w:val="left"/>
      <w:pPr>
        <w:ind w:left="5089" w:hanging="360"/>
      </w:pPr>
    </w:lvl>
    <w:lvl w:ilvl="7" w:tplc="38090019">
      <w:start w:val="1"/>
      <w:numFmt w:val="lowerLetter"/>
      <w:lvlText w:val="%8."/>
      <w:lvlJc w:val="left"/>
      <w:pPr>
        <w:ind w:left="5809" w:hanging="360"/>
      </w:pPr>
    </w:lvl>
    <w:lvl w:ilvl="8" w:tplc="3809001B">
      <w:start w:val="1"/>
      <w:numFmt w:val="lowerRoman"/>
      <w:lvlText w:val="%9."/>
      <w:lvlJc w:val="right"/>
      <w:pPr>
        <w:ind w:left="6529" w:hanging="180"/>
      </w:pPr>
    </w:lvl>
  </w:abstractNum>
  <w:abstractNum w:abstractNumId="1" w15:restartNumberingAfterBreak="0">
    <w:nsid w:val="63BC6BB1"/>
    <w:multiLevelType w:val="hybridMultilevel"/>
    <w:tmpl w:val="ED8CC428"/>
    <w:lvl w:ilvl="0" w:tplc="3809000F">
      <w:start w:val="1"/>
      <w:numFmt w:val="decimal"/>
      <w:lvlText w:val="%1."/>
      <w:lvlJc w:val="left"/>
      <w:pPr>
        <w:ind w:left="720" w:hanging="360"/>
      </w:pPr>
      <w:rPr>
        <w:rFonts w:eastAsia="Times New Roman"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6D4F40FA"/>
    <w:multiLevelType w:val="hybridMultilevel"/>
    <w:tmpl w:val="DCB49BA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71C13C34"/>
    <w:multiLevelType w:val="multilevel"/>
    <w:tmpl w:val="AAE2449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3"/>
  </w:num>
  <w:num w:numId="2">
    <w:abstractNumId w:val="1"/>
  </w:num>
  <w:num w:numId="3">
    <w:abstractNumId w:val="2"/>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1DE3"/>
    <w:rsid w:val="00025285"/>
    <w:rsid w:val="000614C2"/>
    <w:rsid w:val="00062DCD"/>
    <w:rsid w:val="0006708D"/>
    <w:rsid w:val="00126F2A"/>
    <w:rsid w:val="00264446"/>
    <w:rsid w:val="002677CB"/>
    <w:rsid w:val="002904A3"/>
    <w:rsid w:val="004077A7"/>
    <w:rsid w:val="0044425C"/>
    <w:rsid w:val="00494896"/>
    <w:rsid w:val="00525067"/>
    <w:rsid w:val="00547E09"/>
    <w:rsid w:val="005768D9"/>
    <w:rsid w:val="005A4DE8"/>
    <w:rsid w:val="005B6680"/>
    <w:rsid w:val="00620EDB"/>
    <w:rsid w:val="00623535"/>
    <w:rsid w:val="00663594"/>
    <w:rsid w:val="006F3A96"/>
    <w:rsid w:val="007265A0"/>
    <w:rsid w:val="00763B4D"/>
    <w:rsid w:val="007B61C0"/>
    <w:rsid w:val="007B65C1"/>
    <w:rsid w:val="007C1DE3"/>
    <w:rsid w:val="008168D3"/>
    <w:rsid w:val="0085171C"/>
    <w:rsid w:val="008652F1"/>
    <w:rsid w:val="00895F8C"/>
    <w:rsid w:val="008C39BD"/>
    <w:rsid w:val="00903571"/>
    <w:rsid w:val="00920B2A"/>
    <w:rsid w:val="00A00414"/>
    <w:rsid w:val="00A0334E"/>
    <w:rsid w:val="00A2108D"/>
    <w:rsid w:val="00A37812"/>
    <w:rsid w:val="00A7013E"/>
    <w:rsid w:val="00AC5935"/>
    <w:rsid w:val="00AD52B9"/>
    <w:rsid w:val="00B70A46"/>
    <w:rsid w:val="00B81E23"/>
    <w:rsid w:val="00BD6E71"/>
    <w:rsid w:val="00C1481E"/>
    <w:rsid w:val="00C40A8E"/>
    <w:rsid w:val="00C5330F"/>
    <w:rsid w:val="00C76186"/>
    <w:rsid w:val="00C96248"/>
    <w:rsid w:val="00D350E3"/>
    <w:rsid w:val="00D46EA0"/>
    <w:rsid w:val="00DD1919"/>
    <w:rsid w:val="00DD42A3"/>
    <w:rsid w:val="00F259BA"/>
    <w:rsid w:val="00F97CBD"/>
    <w:rsid w:val="00FC1D73"/>
    <w:rsid w:val="00FD3E60"/>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81194E"/>
  <w15:docId w15:val="{46CDAF63-F951-4C26-8821-DE41B2927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ID"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semiHidden/>
    <w:unhideWhenUsed/>
    <w:rsid w:val="0003192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D09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09FB"/>
  </w:style>
  <w:style w:type="paragraph" w:styleId="Footer">
    <w:name w:val="footer"/>
    <w:basedOn w:val="Normal"/>
    <w:link w:val="FooterChar"/>
    <w:uiPriority w:val="99"/>
    <w:unhideWhenUsed/>
    <w:rsid w:val="002D09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09FB"/>
  </w:style>
  <w:style w:type="paragraph" w:styleId="BalloonText">
    <w:name w:val="Balloon Text"/>
    <w:basedOn w:val="Normal"/>
    <w:link w:val="BalloonTextChar"/>
    <w:uiPriority w:val="99"/>
    <w:semiHidden/>
    <w:unhideWhenUsed/>
    <w:rsid w:val="00B155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5532"/>
    <w:rPr>
      <w:rFonts w:ascii="Tahoma" w:hAnsi="Tahoma" w:cs="Tahoma"/>
      <w:sz w:val="16"/>
      <w:szCs w:val="16"/>
    </w:rPr>
  </w:style>
  <w:style w:type="character" w:styleId="Hyperlink">
    <w:name w:val="Hyperlink"/>
    <w:rsid w:val="00B15532"/>
    <w:rPr>
      <w:color w:val="0000FF"/>
      <w:u w:val="single"/>
    </w:rPr>
  </w:style>
  <w:style w:type="character" w:styleId="Strong">
    <w:name w:val="Strong"/>
    <w:basedOn w:val="DefaultParagraphFont"/>
    <w:uiPriority w:val="22"/>
    <w:qFormat/>
    <w:rsid w:val="004E3D65"/>
    <w:rPr>
      <w:b/>
      <w:b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paragraph" w:customStyle="1" w:styleId="TableParagraph">
    <w:name w:val="Table Paragraph"/>
    <w:basedOn w:val="Normal"/>
    <w:uiPriority w:val="1"/>
    <w:qFormat/>
    <w:rsid w:val="00623535"/>
    <w:pPr>
      <w:widowControl w:val="0"/>
      <w:autoSpaceDE w:val="0"/>
      <w:autoSpaceDN w:val="0"/>
      <w:spacing w:after="0" w:line="240" w:lineRule="auto"/>
      <w:ind w:left="110"/>
    </w:pPr>
    <w:rPr>
      <w:rFonts w:ascii="Times New Roman" w:eastAsia="Times New Roman" w:hAnsi="Times New Roman" w:cs="Times New Roman"/>
      <w:lang w:val="id" w:eastAsia="en-US"/>
    </w:rPr>
  </w:style>
  <w:style w:type="paragraph" w:styleId="ListParagraph">
    <w:name w:val="List Paragraph"/>
    <w:basedOn w:val="Normal"/>
    <w:uiPriority w:val="34"/>
    <w:qFormat/>
    <w:rsid w:val="002677CB"/>
    <w:pPr>
      <w:ind w:left="720"/>
      <w:contextualSpacing/>
    </w:pPr>
  </w:style>
  <w:style w:type="character" w:styleId="CommentReference">
    <w:name w:val="annotation reference"/>
    <w:basedOn w:val="DefaultParagraphFont"/>
    <w:uiPriority w:val="99"/>
    <w:semiHidden/>
    <w:unhideWhenUsed/>
    <w:rsid w:val="00025285"/>
    <w:rPr>
      <w:sz w:val="16"/>
      <w:szCs w:val="16"/>
    </w:rPr>
  </w:style>
  <w:style w:type="paragraph" w:styleId="CommentText">
    <w:name w:val="annotation text"/>
    <w:basedOn w:val="Normal"/>
    <w:link w:val="CommentTextChar"/>
    <w:uiPriority w:val="99"/>
    <w:semiHidden/>
    <w:unhideWhenUsed/>
    <w:rsid w:val="00025285"/>
    <w:pPr>
      <w:spacing w:line="240" w:lineRule="auto"/>
    </w:pPr>
    <w:rPr>
      <w:sz w:val="20"/>
      <w:szCs w:val="20"/>
    </w:rPr>
  </w:style>
  <w:style w:type="character" w:customStyle="1" w:styleId="CommentTextChar">
    <w:name w:val="Comment Text Char"/>
    <w:basedOn w:val="DefaultParagraphFont"/>
    <w:link w:val="CommentText"/>
    <w:uiPriority w:val="99"/>
    <w:semiHidden/>
    <w:rsid w:val="00025285"/>
    <w:rPr>
      <w:sz w:val="20"/>
      <w:szCs w:val="20"/>
    </w:rPr>
  </w:style>
  <w:style w:type="paragraph" w:styleId="CommentSubject">
    <w:name w:val="annotation subject"/>
    <w:basedOn w:val="CommentText"/>
    <w:next w:val="CommentText"/>
    <w:link w:val="CommentSubjectChar"/>
    <w:uiPriority w:val="99"/>
    <w:semiHidden/>
    <w:unhideWhenUsed/>
    <w:rsid w:val="00025285"/>
    <w:rPr>
      <w:b/>
      <w:bCs/>
    </w:rPr>
  </w:style>
  <w:style w:type="character" w:customStyle="1" w:styleId="CommentSubjectChar">
    <w:name w:val="Comment Subject Char"/>
    <w:basedOn w:val="CommentTextChar"/>
    <w:link w:val="CommentSubject"/>
    <w:uiPriority w:val="99"/>
    <w:semiHidden/>
    <w:rsid w:val="0002528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4604618">
      <w:bodyDiv w:val="1"/>
      <w:marLeft w:val="0"/>
      <w:marRight w:val="0"/>
      <w:marTop w:val="0"/>
      <w:marBottom w:val="0"/>
      <w:divBdr>
        <w:top w:val="none" w:sz="0" w:space="0" w:color="auto"/>
        <w:left w:val="none" w:sz="0" w:space="0" w:color="auto"/>
        <w:bottom w:val="none" w:sz="0" w:space="0" w:color="auto"/>
        <w:right w:val="none" w:sz="0" w:space="0" w:color="auto"/>
      </w:divBdr>
    </w:div>
    <w:div w:id="1061177785">
      <w:bodyDiv w:val="1"/>
      <w:marLeft w:val="0"/>
      <w:marRight w:val="0"/>
      <w:marTop w:val="0"/>
      <w:marBottom w:val="0"/>
      <w:divBdr>
        <w:top w:val="none" w:sz="0" w:space="0" w:color="auto"/>
        <w:left w:val="none" w:sz="0" w:space="0" w:color="auto"/>
        <w:bottom w:val="none" w:sz="0" w:space="0" w:color="auto"/>
        <w:right w:val="none" w:sz="0" w:space="0" w:color="auto"/>
      </w:divBdr>
    </w:div>
    <w:div w:id="1186404605">
      <w:bodyDiv w:val="1"/>
      <w:marLeft w:val="0"/>
      <w:marRight w:val="0"/>
      <w:marTop w:val="0"/>
      <w:marBottom w:val="0"/>
      <w:divBdr>
        <w:top w:val="none" w:sz="0" w:space="0" w:color="auto"/>
        <w:left w:val="none" w:sz="0" w:space="0" w:color="auto"/>
        <w:bottom w:val="none" w:sz="0" w:space="0" w:color="auto"/>
        <w:right w:val="none" w:sz="0" w:space="0" w:color="auto"/>
      </w:divBdr>
    </w:div>
    <w:div w:id="1345471426">
      <w:bodyDiv w:val="1"/>
      <w:marLeft w:val="0"/>
      <w:marRight w:val="0"/>
      <w:marTop w:val="0"/>
      <w:marBottom w:val="0"/>
      <w:divBdr>
        <w:top w:val="none" w:sz="0" w:space="0" w:color="auto"/>
        <w:left w:val="none" w:sz="0" w:space="0" w:color="auto"/>
        <w:bottom w:val="none" w:sz="0" w:space="0" w:color="auto"/>
        <w:right w:val="none" w:sz="0" w:space="0" w:color="auto"/>
      </w:divBdr>
    </w:div>
    <w:div w:id="1497187180">
      <w:bodyDiv w:val="1"/>
      <w:marLeft w:val="0"/>
      <w:marRight w:val="0"/>
      <w:marTop w:val="0"/>
      <w:marBottom w:val="0"/>
      <w:divBdr>
        <w:top w:val="none" w:sz="0" w:space="0" w:color="auto"/>
        <w:left w:val="none" w:sz="0" w:space="0" w:color="auto"/>
        <w:bottom w:val="none" w:sz="0" w:space="0" w:color="auto"/>
        <w:right w:val="none" w:sz="0" w:space="0" w:color="auto"/>
      </w:divBdr>
    </w:div>
    <w:div w:id="1802993168">
      <w:bodyDiv w:val="1"/>
      <w:marLeft w:val="0"/>
      <w:marRight w:val="0"/>
      <w:marTop w:val="0"/>
      <w:marBottom w:val="0"/>
      <w:divBdr>
        <w:top w:val="none" w:sz="0" w:space="0" w:color="auto"/>
        <w:left w:val="none" w:sz="0" w:space="0" w:color="auto"/>
        <w:bottom w:val="none" w:sz="0" w:space="0" w:color="auto"/>
        <w:right w:val="none" w:sz="0" w:space="0" w:color="auto"/>
      </w:divBdr>
    </w:div>
    <w:div w:id="1855531840">
      <w:bodyDiv w:val="1"/>
      <w:marLeft w:val="0"/>
      <w:marRight w:val="0"/>
      <w:marTop w:val="0"/>
      <w:marBottom w:val="0"/>
      <w:divBdr>
        <w:top w:val="none" w:sz="0" w:space="0" w:color="auto"/>
        <w:left w:val="none" w:sz="0" w:space="0" w:color="auto"/>
        <w:bottom w:val="none" w:sz="0" w:space="0" w:color="auto"/>
        <w:right w:val="none" w:sz="0" w:space="0" w:color="auto"/>
      </w:divBdr>
    </w:div>
    <w:div w:id="1875070068">
      <w:bodyDiv w:val="1"/>
      <w:marLeft w:val="0"/>
      <w:marRight w:val="0"/>
      <w:marTop w:val="0"/>
      <w:marBottom w:val="0"/>
      <w:divBdr>
        <w:top w:val="none" w:sz="0" w:space="0" w:color="auto"/>
        <w:left w:val="none" w:sz="0" w:space="0" w:color="auto"/>
        <w:bottom w:val="none" w:sz="0" w:space="0" w:color="auto"/>
        <w:right w:val="none" w:sz="0" w:space="0" w:color="auto"/>
      </w:divBdr>
    </w:div>
    <w:div w:id="1994479533">
      <w:bodyDiv w:val="1"/>
      <w:marLeft w:val="0"/>
      <w:marRight w:val="0"/>
      <w:marTop w:val="0"/>
      <w:marBottom w:val="0"/>
      <w:divBdr>
        <w:top w:val="none" w:sz="0" w:space="0" w:color="auto"/>
        <w:left w:val="none" w:sz="0" w:space="0" w:color="auto"/>
        <w:bottom w:val="none" w:sz="0" w:space="0" w:color="auto"/>
        <w:right w:val="none" w:sz="0" w:space="0" w:color="auto"/>
      </w:divBdr>
    </w:div>
    <w:div w:id="20056657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chart" Target="charts/chart2.xml"/><Relationship Id="rId2" Type="http://schemas.openxmlformats.org/officeDocument/2006/relationships/customXml" Target="../customXml/item2.xml"/><Relationship Id="rId16"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3" Type="http://schemas.openxmlformats.org/officeDocument/2006/relationships/hyperlink" Target="http://issn.pdii.lipi.go.id/issn.cgi?daftar&amp;1571114179&amp;1&amp;&amp;" TargetMode="External"/><Relationship Id="rId2" Type="http://schemas.openxmlformats.org/officeDocument/2006/relationships/image" Target="media/image3.jpg"/><Relationship Id="rId1" Type="http://schemas.openxmlformats.org/officeDocument/2006/relationships/image" Target="media/image2.png"/><Relationship Id="rId4" Type="http://schemas.openxmlformats.org/officeDocument/2006/relationships/hyperlink" Target="http://issn.pdii.lipi.go.id/issn.cgi?daftar&amp;1571103257&amp;1&amp;&amp;"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6128907764213276E-2"/>
          <c:y val="9.3457943925233641E-2"/>
          <c:w val="0.47375789151925302"/>
          <c:h val="0.78522560668413932"/>
        </c:manualLayout>
      </c:layout>
      <c:pieChart>
        <c:varyColors val="1"/>
        <c:ser>
          <c:idx val="0"/>
          <c:order val="0"/>
          <c:tx>
            <c:strRef>
              <c:f>Sheet1!$B$1</c:f>
              <c:strCache>
                <c:ptCount val="1"/>
                <c:pt idx="0">
                  <c:v>Column1</c:v>
                </c:pt>
              </c:strCache>
            </c:strRef>
          </c:tx>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7F0C-44AE-973D-5074BE28F523}"/>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7F0C-44AE-973D-5074BE28F523}"/>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7F0C-44AE-973D-5074BE28F523}"/>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7F0C-44AE-973D-5074BE28F523}"/>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1"/>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Sheet1!$A$2:$A$5</c:f>
              <c:strCache>
                <c:ptCount val="4"/>
                <c:pt idx="0">
                  <c:v>A</c:v>
                </c:pt>
                <c:pt idx="1">
                  <c:v>B</c:v>
                </c:pt>
                <c:pt idx="2">
                  <c:v>O</c:v>
                </c:pt>
                <c:pt idx="3">
                  <c:v>AB</c:v>
                </c:pt>
              </c:strCache>
            </c:strRef>
          </c:cat>
          <c:val>
            <c:numRef>
              <c:f>Sheet1!$B$2:$B$5</c:f>
              <c:numCache>
                <c:formatCode>0%</c:formatCode>
                <c:ptCount val="4"/>
                <c:pt idx="0">
                  <c:v>0.32</c:v>
                </c:pt>
                <c:pt idx="1">
                  <c:v>0.26</c:v>
                </c:pt>
                <c:pt idx="2">
                  <c:v>0.39</c:v>
                </c:pt>
                <c:pt idx="3">
                  <c:v>0.03</c:v>
                </c:pt>
              </c:numCache>
            </c:numRef>
          </c:val>
          <c:extLst>
            <c:ext xmlns:c16="http://schemas.microsoft.com/office/drawing/2014/chart" uri="{C3380CC4-5D6E-409C-BE32-E72D297353CC}">
              <c16:uniqueId val="{00000008-7F0C-44AE-973D-5074BE28F523}"/>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layout>
        <c:manualLayout>
          <c:xMode val="edge"/>
          <c:yMode val="edge"/>
          <c:x val="0.74537096330753061"/>
          <c:y val="0.24604516096163753"/>
          <c:w val="0.15553870665321032"/>
          <c:h val="0.51671544292046179"/>
        </c:manualLayout>
      </c:layout>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5280131604876918E-2"/>
          <c:y val="0.11031461862455966"/>
          <c:w val="0.5068401977500363"/>
          <c:h val="0.77812586323468658"/>
        </c:manualLayout>
      </c:layout>
      <c:pieChart>
        <c:varyColors val="1"/>
        <c:ser>
          <c:idx val="0"/>
          <c:order val="0"/>
          <c:tx>
            <c:strRef>
              <c:f>Sheet1!$B$1</c:f>
              <c:strCache>
                <c:ptCount val="1"/>
                <c:pt idx="0">
                  <c:v>Sales</c:v>
                </c:pt>
              </c:strCache>
            </c:strRef>
          </c:tx>
          <c:explosion val="1"/>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3951-41C5-93AF-D1EE6F3259FD}"/>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3951-41C5-93AF-D1EE6F3259FD}"/>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3951-41C5-93AF-D1EE6F3259FD}"/>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3951-41C5-93AF-D1EE6F3259FD}"/>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Sheet1!$A$2:$A$5</c:f>
              <c:strCache>
                <c:ptCount val="3"/>
                <c:pt idx="0">
                  <c:v>Dewasa muda (17-25 tahun)</c:v>
                </c:pt>
                <c:pt idx="1">
                  <c:v>Dewasa tua (26-60 tahun)</c:v>
                </c:pt>
                <c:pt idx="2">
                  <c:v>Lanjut usia (&gt;60 tahun)</c:v>
                </c:pt>
              </c:strCache>
            </c:strRef>
          </c:cat>
          <c:val>
            <c:numRef>
              <c:f>Sheet1!$B$2:$B$5</c:f>
              <c:numCache>
                <c:formatCode>0%</c:formatCode>
                <c:ptCount val="4"/>
                <c:pt idx="0">
                  <c:v>0.4</c:v>
                </c:pt>
                <c:pt idx="1">
                  <c:v>0.48</c:v>
                </c:pt>
                <c:pt idx="2">
                  <c:v>0.12</c:v>
                </c:pt>
              </c:numCache>
            </c:numRef>
          </c:val>
          <c:extLst>
            <c:ext xmlns:c16="http://schemas.microsoft.com/office/drawing/2014/chart" uri="{C3380CC4-5D6E-409C-BE32-E72D297353CC}">
              <c16:uniqueId val="{00000008-3951-41C5-93AF-D1EE6F3259FD}"/>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legendEntry>
        <c:idx val="3"/>
        <c:delete val="1"/>
      </c:legendEntry>
      <c:layout>
        <c:manualLayout>
          <c:xMode val="edge"/>
          <c:yMode val="edge"/>
          <c:x val="0.63600832812111763"/>
          <c:y val="0.16164751875110164"/>
          <c:w val="0.2998284681226599"/>
          <c:h val="0.69674279355240964"/>
        </c:manualLayout>
      </c:layout>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6gMv65j8RG9q7K3iLbpSpzV9puw==">AMUW2mW0imkWupXwOkh5RhDEQxwXbzTtwGStdV6XYdDZbFLBrTiujDJeiv8gEMgBDejFRG30riMdfqidtn0JiiEt3HGo5SNRNLrGDXS/ZRV7Q39Kfzv/p8c=</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5E7CD4E-AF80-4976-9D53-2340F389B5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400</TotalTime>
  <Pages>4</Pages>
  <Words>1634</Words>
  <Characters>9314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Samsung</dc:creator>
  <cp:lastModifiedBy>HP</cp:lastModifiedBy>
  <cp:revision>19</cp:revision>
  <dcterms:created xsi:type="dcterms:W3CDTF">2020-10-06T04:39:00Z</dcterms:created>
  <dcterms:modified xsi:type="dcterms:W3CDTF">2024-04-04T06:01:00Z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Citation Style_1">
    <vt:lpwstr>http://www.zotero.org/styles/apa</vt:lpwstr>
  </property>
  <property fmtid="{D5CDD505-2E9C-101B-9397-08002B2CF9AE}" pid="23" name="Mendeley Document_1">
    <vt:lpwstr>True</vt:lpwstr>
  </property>
  <property fmtid="{D5CDD505-2E9C-101B-9397-08002B2CF9AE}" pid="24" name="Mendeley Unique User Id_1">
    <vt:lpwstr>f0be2710-b21b-3883-b021-01dc0321d01c</vt:lpwstr>
  </property>
</Properties>
</file>